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A42D4" w14:textId="77777777" w:rsidR="009732BA" w:rsidRPr="00366B6D" w:rsidRDefault="009732BA" w:rsidP="009732BA">
      <w:pPr>
        <w:widowControl w:val="0"/>
        <w:suppressAutoHyphens/>
        <w:spacing w:after="0" w:line="240" w:lineRule="auto"/>
        <w:ind w:left="397" w:right="397"/>
        <w:jc w:val="center"/>
        <w:rPr>
          <w:rFonts w:ascii="Calibri" w:eastAsia="Times New Roman" w:hAnsi="Calibri" w:cs="Times New Roman"/>
          <w:b/>
          <w:kern w:val="1"/>
          <w:sz w:val="28"/>
          <w:szCs w:val="28"/>
          <w:lang w:eastAsia="pl-PL" w:bidi="hi-IN"/>
        </w:rPr>
      </w:pPr>
      <w:r w:rsidRPr="00366B6D">
        <w:rPr>
          <w:rFonts w:ascii="Calibri" w:eastAsia="Times New Roman" w:hAnsi="Calibri" w:cs="Times New Roman"/>
          <w:b/>
          <w:kern w:val="1"/>
          <w:sz w:val="28"/>
          <w:szCs w:val="28"/>
          <w:lang w:eastAsia="pl-PL" w:bidi="hi-IN"/>
        </w:rPr>
        <w:t>Dokumentacja dotycząca wybranej formy zabezpieczenia</w:t>
      </w:r>
    </w:p>
    <w:p w14:paraId="1E32981C" w14:textId="77777777" w:rsidR="009732BA" w:rsidRPr="00366B6D" w:rsidRDefault="009732BA" w:rsidP="009732BA">
      <w:pPr>
        <w:widowControl w:val="0"/>
        <w:suppressAutoHyphens/>
        <w:spacing w:after="0" w:line="240" w:lineRule="auto"/>
        <w:ind w:left="397" w:right="397"/>
        <w:jc w:val="center"/>
        <w:rPr>
          <w:rFonts w:ascii="Calibri" w:eastAsia="Times New Roman" w:hAnsi="Calibri" w:cs="Times New Roman"/>
          <w:b/>
          <w:kern w:val="1"/>
          <w:sz w:val="28"/>
          <w:szCs w:val="28"/>
          <w:lang w:eastAsia="pl-PL" w:bidi="hi-IN"/>
        </w:rPr>
      </w:pPr>
    </w:p>
    <w:p w14:paraId="16021C87" w14:textId="77777777" w:rsidR="009732BA" w:rsidRPr="00366B6D" w:rsidRDefault="009732BA" w:rsidP="009732BA">
      <w:pPr>
        <w:widowControl w:val="0"/>
        <w:suppressAutoHyphens/>
        <w:spacing w:after="0" w:line="240" w:lineRule="auto"/>
        <w:ind w:left="397" w:right="397"/>
        <w:jc w:val="center"/>
        <w:rPr>
          <w:rFonts w:ascii="Calibri" w:eastAsia="Times New Roman" w:hAnsi="Calibri" w:cs="Times New Roman"/>
          <w:b/>
          <w:kern w:val="1"/>
          <w:sz w:val="28"/>
          <w:szCs w:val="28"/>
          <w:lang w:eastAsia="pl-PL" w:bidi="hi-IN"/>
        </w:rPr>
      </w:pPr>
      <w:r w:rsidRPr="00366B6D">
        <w:rPr>
          <w:rFonts w:ascii="Calibri" w:eastAsia="Times New Roman" w:hAnsi="Calibri" w:cs="Times New Roman"/>
          <w:b/>
          <w:kern w:val="1"/>
          <w:sz w:val="28"/>
          <w:szCs w:val="28"/>
          <w:lang w:eastAsia="pl-PL" w:bidi="hi-IN"/>
        </w:rPr>
        <w:t>Obligatoryjne zabezpieczenie:</w:t>
      </w:r>
    </w:p>
    <w:p w14:paraId="6A0D1CEA" w14:textId="77777777" w:rsidR="009732BA" w:rsidRDefault="009732BA" w:rsidP="009732BA">
      <w:pPr>
        <w:widowControl w:val="0"/>
        <w:suppressAutoHyphens/>
        <w:spacing w:after="0" w:line="240" w:lineRule="auto"/>
        <w:ind w:left="397" w:right="397"/>
        <w:jc w:val="center"/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</w:pPr>
    </w:p>
    <w:p w14:paraId="141B2DDA" w14:textId="0AB9902C" w:rsidR="009732BA" w:rsidRPr="00366B6D" w:rsidRDefault="00776604" w:rsidP="009732B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97" w:right="397"/>
        <w:jc w:val="center"/>
        <w:rPr>
          <w:rFonts w:ascii="Calibri" w:eastAsia="Calibri" w:hAnsi="Calibri" w:cs="Times New Roman"/>
          <w:bCs/>
          <w:kern w:val="1"/>
          <w:sz w:val="24"/>
          <w:szCs w:val="24"/>
          <w:lang w:eastAsia="hi-IN" w:bidi="hi-IN"/>
        </w:rPr>
      </w:pPr>
      <w:r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  <w:t xml:space="preserve">WEKSEL WŁASNY IN BLANCO WRAZ Z DEKLARACJĄ WEKSLOWĄ LUB PODDANIE SIĘ EGZEKUCJI W TRYBIE ART. 777 </w:t>
      </w:r>
      <w:r w:rsidRPr="00776604"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  <w:t>§ 1 pkt</w:t>
      </w:r>
      <w:r w:rsidR="00496C6E"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  <w:t xml:space="preserve">. 4-6 k.p.c. </w:t>
      </w:r>
    </w:p>
    <w:p w14:paraId="71BACCCC" w14:textId="77777777" w:rsidR="009732BA" w:rsidRDefault="009732BA" w:rsidP="009732BA">
      <w:pPr>
        <w:spacing w:after="0"/>
        <w:ind w:firstLine="397"/>
        <w:jc w:val="both"/>
        <w:rPr>
          <w:rFonts w:eastAsia="Times New Roman" w:cstheme="minorHAnsi"/>
          <w:iCs/>
          <w:kern w:val="1"/>
          <w:sz w:val="24"/>
          <w:szCs w:val="24"/>
          <w:lang w:eastAsia="hi-IN" w:bidi="hi-IN"/>
        </w:rPr>
      </w:pPr>
    </w:p>
    <w:p w14:paraId="264FAEB0" w14:textId="77777777" w:rsidR="009732BA" w:rsidRPr="00C572D3" w:rsidRDefault="009732BA" w:rsidP="009732BA">
      <w:pPr>
        <w:spacing w:after="0"/>
        <w:ind w:firstLine="397"/>
        <w:jc w:val="both"/>
        <w:rPr>
          <w:rFonts w:eastAsia="Times New Roman" w:cstheme="minorHAnsi"/>
          <w:iCs/>
          <w:kern w:val="1"/>
          <w:sz w:val="24"/>
          <w:szCs w:val="24"/>
          <w:lang w:eastAsia="hi-IN" w:bidi="hi-IN"/>
        </w:rPr>
      </w:pPr>
      <w:r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o</w:t>
      </w:r>
      <w:r w:rsidRPr="00C572D3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raz </w:t>
      </w:r>
      <w:r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dodatkowe formy </w:t>
      </w:r>
      <w:r w:rsidRPr="00FC0C55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proponowanego zabezpieczenie spłaty pożyczki</w:t>
      </w:r>
      <w:r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: </w:t>
      </w:r>
    </w:p>
    <w:p w14:paraId="03258B25" w14:textId="2EA0E9D9" w:rsidR="009732BA" w:rsidRDefault="00496C6E" w:rsidP="00774BE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eastAsia="Times New Roman" w:cstheme="minorHAnsi"/>
          <w:iCs/>
          <w:kern w:val="1"/>
          <w:sz w:val="24"/>
          <w:szCs w:val="24"/>
          <w:lang w:eastAsia="hi-IN" w:bidi="hi-IN"/>
        </w:rPr>
      </w:pPr>
      <w:r w:rsidRPr="00496C6E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hipoteka na nieruchomości (ustanawiana notarialnie) wraz z cesją praw z polisy ubezpieczenia w przypadku nieruchomości zabudowanej</w:t>
      </w:r>
      <w:r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,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zastaw rejestrowy wraz z przelewem wierzytelności z umowy ubezpieczenia majątkoweg</w:t>
      </w:r>
      <w:r w:rsidR="00774BEB"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o,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poręczenie cywilne lub wekslowe osób trzecich</w:t>
      </w:r>
      <w:r w:rsidR="00774BEB"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,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przewłaszczenie wraz z przelewem wierzytelności z umowy ubezpieczenia majątkowego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ab/>
        <w:t>depozyt gwarancyjny lub blokada pieniężna, blokada jednostek funduszy inwestycyjnych, gwarancja bankowa</w:t>
      </w:r>
      <w:r w:rsidR="00774BEB"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,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pełnomocnictwo do dysponowania rachunkiem/ rachunkami bankowymi Pożyczkobiorcy</w:t>
      </w:r>
      <w:r w:rsidR="00774BEB"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 xml:space="preserve">, </w:t>
      </w:r>
      <w:r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inne zaakceptowane przez FRW</w:t>
      </w:r>
      <w:r w:rsidR="00774BEB" w:rsidRPr="00BF11B7">
        <w:rPr>
          <w:rFonts w:eastAsia="Times New Roman" w:cstheme="minorHAnsi"/>
          <w:iCs/>
          <w:kern w:val="1"/>
          <w:sz w:val="24"/>
          <w:szCs w:val="24"/>
          <w:lang w:eastAsia="hi-IN" w:bidi="hi-IN"/>
        </w:rPr>
        <w:t>.</w:t>
      </w:r>
    </w:p>
    <w:p w14:paraId="3B9D018D" w14:textId="77777777" w:rsidR="00774BEB" w:rsidRPr="00774BEB" w:rsidRDefault="00774BEB" w:rsidP="00774BE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eastAsia="Times New Roman" w:cstheme="minorHAnsi"/>
          <w:iCs/>
          <w:kern w:val="1"/>
          <w:sz w:val="24"/>
          <w:szCs w:val="24"/>
          <w:lang w:eastAsia="hi-IN" w:bidi="hi-IN"/>
        </w:rPr>
      </w:pPr>
    </w:p>
    <w:p w14:paraId="5257B42D" w14:textId="77777777" w:rsidR="009732BA" w:rsidRDefault="009732BA" w:rsidP="009732B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ascii="Calibri" w:eastAsia="Calibri" w:hAnsi="Calibri" w:cs="Times New Roman"/>
          <w:b/>
          <w:kern w:val="1"/>
          <w:sz w:val="24"/>
          <w:szCs w:val="24"/>
          <w:lang w:eastAsia="hi-IN" w:bidi="hi-IN"/>
        </w:rPr>
      </w:pPr>
      <w:r w:rsidRPr="00366B6D">
        <w:rPr>
          <w:rFonts w:ascii="Calibri" w:eastAsia="Calibri" w:hAnsi="Calibri" w:cs="Times New Roman"/>
          <w:b/>
          <w:kern w:val="1"/>
          <w:sz w:val="24"/>
          <w:szCs w:val="24"/>
          <w:lang w:eastAsia="hi-IN" w:bidi="hi-IN"/>
        </w:rPr>
        <w:t>Ostateczna forma zabezpieczenia spłaty pożyczki ustalana jest indywidualnie i zależna jest od wyniku oceny ryzyka niespłacenia pożyczki  przez Pożyczkobiorcę i jego stanu majątkowego.</w:t>
      </w:r>
    </w:p>
    <w:p w14:paraId="75E5FAA8" w14:textId="77777777" w:rsidR="009732BA" w:rsidRPr="009818E2" w:rsidRDefault="009732BA" w:rsidP="00774BEB">
      <w:pPr>
        <w:widowControl w:val="0"/>
        <w:suppressAutoHyphens/>
        <w:spacing w:after="0" w:line="240" w:lineRule="auto"/>
        <w:ind w:right="397"/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</w:pPr>
    </w:p>
    <w:p w14:paraId="12CDF5F2" w14:textId="77777777" w:rsidR="009732BA" w:rsidRPr="00AA140A" w:rsidRDefault="009732BA" w:rsidP="009732BA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right="397"/>
        <w:rPr>
          <w:rFonts w:eastAsia="Times New Roman"/>
          <w:b/>
          <w:kern w:val="1"/>
          <w:sz w:val="24"/>
          <w:szCs w:val="24"/>
          <w:u w:val="single"/>
          <w:lang w:eastAsia="pl-PL" w:bidi="hi-IN"/>
        </w:rPr>
      </w:pPr>
      <w:r w:rsidRPr="00AA140A">
        <w:rPr>
          <w:rFonts w:eastAsia="Times New Roman"/>
          <w:b/>
          <w:kern w:val="1"/>
          <w:sz w:val="24"/>
          <w:szCs w:val="24"/>
          <w:u w:val="single"/>
          <w:lang w:eastAsia="pl-PL" w:bidi="hi-IN"/>
        </w:rPr>
        <w:t>PEŁNOMOCNICTWO DO DYSPONOWANIA RACHUNKIEM BANKOWYM</w:t>
      </w:r>
    </w:p>
    <w:p w14:paraId="02610296" w14:textId="77777777" w:rsidR="009732BA" w:rsidRDefault="009732BA" w:rsidP="009732BA">
      <w:pPr>
        <w:widowControl w:val="0"/>
        <w:suppressAutoHyphens/>
        <w:ind w:left="397"/>
        <w:jc w:val="both"/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</w:pPr>
      <w:r w:rsidRPr="00156486">
        <w:rPr>
          <w:rFonts w:ascii="Calibri" w:eastAsia="Times New Roman" w:hAnsi="Calibri" w:cs="Times New Roman"/>
          <w:b/>
          <w:kern w:val="1"/>
          <w:sz w:val="24"/>
          <w:szCs w:val="24"/>
          <w:lang w:eastAsia="pl-PL" w:bidi="hi-IN"/>
        </w:rPr>
        <w:t>Uwaga!</w:t>
      </w:r>
      <w:r w:rsidRPr="00156486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 Weryfikując i akceptując zabezpieczenie w postaci 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pełnomocnictwa do dysponowania rachunkiem bankowym, wymaga FRW p</w:t>
      </w:r>
      <w:r w:rsidRPr="00B800FE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rzyjmując pełnomocnictwo do dysponowania rachunkiem bankowym wymaga: </w:t>
      </w:r>
    </w:p>
    <w:p w14:paraId="5EACD469" w14:textId="77777777" w:rsidR="009732BA" w:rsidRDefault="009732BA" w:rsidP="009732BA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eastAsia="Times New Roman"/>
          <w:kern w:val="1"/>
          <w:sz w:val="24"/>
          <w:szCs w:val="24"/>
          <w:lang w:eastAsia="pl-PL" w:bidi="hi-IN"/>
        </w:rPr>
      </w:pPr>
      <w:r w:rsidRPr="00870929">
        <w:rPr>
          <w:rFonts w:eastAsia="Times New Roman"/>
          <w:kern w:val="1"/>
          <w:sz w:val="24"/>
          <w:szCs w:val="24"/>
          <w:lang w:eastAsia="pl-PL" w:bidi="hi-IN"/>
        </w:rPr>
        <w:t xml:space="preserve">aby w czasie trwania pełnomocnictwa posiadacz rachunku bankowego nie mógł ustanawiać innych pełnomocników do dysponowania rachunkiem lub aby możliwość ustanowienia innych pełnomocników uzależniona była od uzyskania zgody </w:t>
      </w:r>
      <w:r>
        <w:rPr>
          <w:rFonts w:eastAsia="Times New Roman"/>
          <w:kern w:val="1"/>
          <w:sz w:val="24"/>
          <w:szCs w:val="24"/>
          <w:lang w:eastAsia="pl-PL" w:bidi="hi-IN"/>
        </w:rPr>
        <w:t>FRW,</w:t>
      </w:r>
      <w:r w:rsidRPr="00870929">
        <w:rPr>
          <w:rFonts w:eastAsia="Times New Roman"/>
          <w:kern w:val="1"/>
          <w:sz w:val="24"/>
          <w:szCs w:val="24"/>
          <w:lang w:eastAsia="pl-PL" w:bidi="hi-IN"/>
        </w:rPr>
        <w:t xml:space="preserve"> </w:t>
      </w:r>
    </w:p>
    <w:p w14:paraId="275DA886" w14:textId="77777777" w:rsidR="009732BA" w:rsidRDefault="009732BA" w:rsidP="009732BA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eastAsia="Times New Roman"/>
          <w:kern w:val="1"/>
          <w:sz w:val="24"/>
          <w:szCs w:val="24"/>
          <w:lang w:eastAsia="pl-PL" w:bidi="hi-IN"/>
        </w:rPr>
      </w:pPr>
      <w:r w:rsidRPr="007125B4">
        <w:rPr>
          <w:rFonts w:eastAsia="Times New Roman"/>
          <w:kern w:val="1"/>
          <w:sz w:val="24"/>
          <w:szCs w:val="24"/>
          <w:lang w:eastAsia="pl-PL" w:bidi="hi-IN"/>
        </w:rPr>
        <w:t>zrzeczenia się przez posiadacza rachunku prawa do odwołania pełnomocnictwa</w:t>
      </w:r>
      <w:bookmarkStart w:id="0" w:name="_GoBack"/>
      <w:bookmarkEnd w:id="0"/>
      <w:r w:rsidRPr="007125B4">
        <w:rPr>
          <w:rFonts w:eastAsia="Times New Roman"/>
          <w:kern w:val="1"/>
          <w:sz w:val="24"/>
          <w:szCs w:val="24"/>
          <w:lang w:eastAsia="pl-PL" w:bidi="hi-IN"/>
        </w:rPr>
        <w:t xml:space="preserve"> udzielonego FRW  przed dokonaniem całkowitej spłaty zadłużenia,</w:t>
      </w:r>
    </w:p>
    <w:p w14:paraId="4F16E822" w14:textId="77777777" w:rsidR="009732BA" w:rsidRDefault="009732BA" w:rsidP="009732BA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rFonts w:eastAsia="Times New Roman"/>
          <w:kern w:val="1"/>
          <w:sz w:val="24"/>
          <w:szCs w:val="24"/>
          <w:lang w:eastAsia="pl-PL" w:bidi="hi-IN"/>
        </w:rPr>
      </w:pPr>
      <w:r w:rsidRPr="007125B4">
        <w:rPr>
          <w:rFonts w:eastAsia="Times New Roman"/>
          <w:kern w:val="1"/>
          <w:sz w:val="24"/>
          <w:szCs w:val="24"/>
          <w:lang w:eastAsia="pl-PL" w:bidi="hi-IN"/>
        </w:rPr>
        <w:t>złożenia przez posiadacza rachunku oświadczenia, że pełnomocnictwo do dysponowania rachunkiem bankowym osoby fizycznej nie wygasa wraz ze śmiercią posiadacza rachunku.</w:t>
      </w:r>
    </w:p>
    <w:p w14:paraId="3CD436D2" w14:textId="77777777" w:rsidR="009732BA" w:rsidRDefault="009732BA" w:rsidP="009732BA">
      <w:pPr>
        <w:widowControl w:val="0"/>
        <w:suppressAutoHyphens/>
        <w:ind w:left="680"/>
        <w:jc w:val="both"/>
        <w:rPr>
          <w:rFonts w:ascii="Calibri" w:eastAsia="Times New Roman" w:hAnsi="Calibri" w:cs="Times New Roman"/>
          <w:b/>
          <w:kern w:val="1"/>
          <w:sz w:val="24"/>
          <w:szCs w:val="24"/>
          <w:lang w:eastAsia="pl-PL" w:bidi="hi-IN"/>
        </w:rPr>
      </w:pPr>
      <w:r w:rsidRPr="007125B4">
        <w:rPr>
          <w:rFonts w:ascii="Calibri" w:eastAsia="Times New Roman" w:hAnsi="Calibri" w:cs="Times New Roman"/>
          <w:b/>
          <w:kern w:val="1"/>
          <w:sz w:val="24"/>
          <w:szCs w:val="24"/>
          <w:lang w:eastAsia="pl-PL" w:bidi="hi-IN"/>
        </w:rPr>
        <w:t xml:space="preserve">Dokumentacja: </w:t>
      </w:r>
    </w:p>
    <w:p w14:paraId="3447E14B" w14:textId="77777777" w:rsidR="009732BA" w:rsidRDefault="009732BA" w:rsidP="009732BA">
      <w:pPr>
        <w:widowControl w:val="0"/>
        <w:suppressAutoHyphens/>
        <w:ind w:left="680"/>
        <w:jc w:val="both"/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</w:pP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- </w:t>
      </w:r>
      <w:r w:rsidRPr="0033680C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Wyciąg (historia) z rachunku bankowego przedstawiane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go</w:t>
      </w:r>
      <w:r w:rsidRPr="0033680C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 na zabezpieczenie spłaty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 wnioskowanej </w:t>
      </w:r>
      <w:r w:rsidRPr="0033680C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 pożyczki, służącemu obsłudze funduszu remontowego i eksploatacyjnego  za ostatnie 6 miesięcy poprzedzające miesiąc w którym został złożony wniosek o pożyczkę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,</w:t>
      </w:r>
    </w:p>
    <w:p w14:paraId="449ACD44" w14:textId="77777777" w:rsidR="009732BA" w:rsidRPr="0033680C" w:rsidRDefault="009732BA" w:rsidP="009732BA">
      <w:pPr>
        <w:widowControl w:val="0"/>
        <w:suppressAutoHyphens/>
        <w:ind w:left="680"/>
        <w:jc w:val="both"/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</w:pPr>
      <w:bookmarkStart w:id="1" w:name="_Hlk79488013"/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- </w:t>
      </w:r>
      <w:bookmarkStart w:id="2" w:name="_Hlk79488182"/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Zaświadczenie lub opinia instytucji finansowej prowadzącej rachunek bankowy Wnioskodawcy przedstawiany </w:t>
      </w:r>
      <w:r w:rsidRPr="0033680C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na zabezpieczenie spłaty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 wnioskowanej </w:t>
      </w:r>
      <w:r w:rsidRPr="0033680C"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pożyczki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, potwierdzające jego prawidłową obsługę przez Wnioskodawcę, a także brak zajęć 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lastRenderedPageBreak/>
        <w:t xml:space="preserve">komorniczych i egzekucyjnych i ustanowionych pełnomocnictw do dysponowania środkami finansowymi na ww. rachunku na rzecz instytucji finansowych i innych osób trzecich. </w:t>
      </w:r>
    </w:p>
    <w:bookmarkEnd w:id="1"/>
    <w:bookmarkEnd w:id="2"/>
    <w:p w14:paraId="01C18D70" w14:textId="77777777" w:rsidR="009732BA" w:rsidRPr="00595AE6" w:rsidRDefault="009732BA" w:rsidP="009732BA">
      <w:pPr>
        <w:widowControl w:val="0"/>
        <w:numPr>
          <w:ilvl w:val="0"/>
          <w:numId w:val="3"/>
        </w:numPr>
        <w:suppressAutoHyphens/>
        <w:spacing w:after="200" w:line="276" w:lineRule="auto"/>
        <w:jc w:val="both"/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</w:pPr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 xml:space="preserve">Uchwała właściwego organu 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Wnioskodawcy</w:t>
      </w:r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 xml:space="preserve"> o ustanowieni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>u</w:t>
      </w:r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 xml:space="preserve"> prawnych zabezpieczeń w szczególności do </w:t>
      </w:r>
      <w:r>
        <w:rPr>
          <w:rFonts w:ascii="Calibri" w:eastAsia="Times New Roman" w:hAnsi="Calibri" w:cs="Times New Roman"/>
          <w:kern w:val="1"/>
          <w:sz w:val="24"/>
          <w:szCs w:val="24"/>
          <w:lang w:eastAsia="pl-PL" w:bidi="hi-IN"/>
        </w:rPr>
        <w:t xml:space="preserve">ustanowienia </w:t>
      </w:r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 xml:space="preserve">nieodwoływalnego pełnomocnictwa do dysponowania rachunkiem/ rachunkami bankowym/i na rzecz FRW  wraz z informacją, że do momentu całkowitej spłaty zobowiązania z tytułu wnioskowanej pożyczki stawka na fundusz remontowy nie ulegnie pomniejszeniu oraz że nie będą udzielane pełnomocnictwa innym wierzycielom do tego/ tych rachunku/ów bankowego/ </w:t>
      </w:r>
      <w:proofErr w:type="spellStart"/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>ych</w:t>
      </w:r>
      <w:proofErr w:type="spellEnd"/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>, na którym/</w:t>
      </w:r>
      <w:proofErr w:type="spellStart"/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>ch</w:t>
      </w:r>
      <w:proofErr w:type="spellEnd"/>
      <w:r w:rsidRPr="00A32C55">
        <w:rPr>
          <w:rFonts w:ascii="Calibri" w:eastAsia="Times New Roman" w:hAnsi="Calibri" w:cs="Times New Roman"/>
          <w:kern w:val="1"/>
          <w:sz w:val="24"/>
          <w:szCs w:val="24"/>
          <w:lang w:val="x-none" w:eastAsia="pl-PL" w:bidi="hi-IN"/>
        </w:rPr>
        <w:t xml:space="preserve"> gromadzone są/ będą środki funduszu remontowego i eksploatacyjnego. Uchwała ponadto zawierać musi upoważnienie dla banku prowadzącego rachunek do udzielania FRW informacji o stanie środków pieniężnych na tym rachunku oraz informację o zrzeczeniu się przez Wnioskodawcę (posiadacza rachunku) prawa do odwołania pełnomocnictwa udzielonego FRW przed dokonaniem całkowitej spłaty zadłużenia wobec FRW z tytułu wnioskowanej transakcji,</w:t>
      </w:r>
    </w:p>
    <w:p w14:paraId="795BAC18" w14:textId="77777777" w:rsidR="009732BA" w:rsidRPr="00366B6D" w:rsidRDefault="009732BA" w:rsidP="009732BA">
      <w:pPr>
        <w:widowControl w:val="0"/>
        <w:suppressAutoHyphens/>
        <w:spacing w:after="0" w:line="240" w:lineRule="auto"/>
        <w:ind w:left="397" w:right="397"/>
        <w:rPr>
          <w:rFonts w:ascii="Calibri" w:eastAsia="Times New Roman" w:hAnsi="Calibri" w:cs="Times New Roman"/>
          <w:b/>
          <w:kern w:val="1"/>
          <w:sz w:val="24"/>
          <w:szCs w:val="24"/>
          <w:u w:val="single"/>
          <w:lang w:eastAsia="pl-PL" w:bidi="hi-IN"/>
        </w:rPr>
      </w:pPr>
    </w:p>
    <w:p w14:paraId="4CE60D94" w14:textId="77777777" w:rsidR="009732BA" w:rsidRPr="00AA140A" w:rsidRDefault="009732BA" w:rsidP="009732BA">
      <w:pPr>
        <w:pStyle w:val="Akapitzlist"/>
        <w:numPr>
          <w:ilvl w:val="0"/>
          <w:numId w:val="4"/>
        </w:numPr>
        <w:ind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PORĘCZENIE WEKSLOWE OSOBY FIZYCZNEJ</w:t>
      </w:r>
    </w:p>
    <w:p w14:paraId="30A3D716" w14:textId="77777777" w:rsidR="009732BA" w:rsidRPr="00AA140A" w:rsidRDefault="009732BA" w:rsidP="009732BA">
      <w:pPr>
        <w:tabs>
          <w:tab w:val="left" w:pos="851"/>
        </w:tabs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Uwaga!</w:t>
      </w:r>
      <w:r w:rsidRPr="00AA140A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A140A">
        <w:rPr>
          <w:rFonts w:eastAsia="Times New Roman" w:cstheme="minorHAnsi"/>
          <w:sz w:val="24"/>
          <w:szCs w:val="24"/>
          <w:lang w:eastAsia="pl-PL"/>
        </w:rPr>
        <w:t>W przypadku pozostawania poręczyciela w związku małżeńskim, w którym wspólność  małżeńska nie została ograniczona ani wyłączona, wymagane jest poręczenie obojga małżonków.</w:t>
      </w:r>
    </w:p>
    <w:p w14:paraId="187F252F" w14:textId="77777777" w:rsidR="009732BA" w:rsidRPr="00AA140A" w:rsidRDefault="009732BA" w:rsidP="009732BA">
      <w:pPr>
        <w:tabs>
          <w:tab w:val="left" w:pos="851"/>
        </w:tabs>
        <w:ind w:left="397" w:right="397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ab/>
      </w:r>
      <w:r w:rsidRPr="00AA140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Nie są akceptowane dochody poręczycieli osiągane poza granicami kraju.  </w:t>
      </w:r>
    </w:p>
    <w:p w14:paraId="60C24CC5" w14:textId="77777777" w:rsidR="009732BA" w:rsidRPr="00AA140A" w:rsidRDefault="009732BA" w:rsidP="009732BA">
      <w:pPr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( Emeryta)</w:t>
      </w:r>
    </w:p>
    <w:p w14:paraId="19081376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kwestionariusz Poręczyciela</w:t>
      </w:r>
    </w:p>
    <w:p w14:paraId="65DF4CF0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kopia decyzji o przyznaniu emerytury</w:t>
      </w:r>
    </w:p>
    <w:p w14:paraId="4297806F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wyciąg bankowy potwierdzający wpływ emerytury na rachunek za ostatni miesiąc lub pokwitowanie odbioru w przypadku otrzymywania emerytury w formie gotówkowej</w:t>
      </w:r>
    </w:p>
    <w:p w14:paraId="4926F5B8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kopia dokumentu tożsamości</w:t>
      </w:r>
    </w:p>
    <w:p w14:paraId="76AD740C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</w:p>
    <w:p w14:paraId="7749F940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(Umowa o pracę)</w:t>
      </w:r>
    </w:p>
    <w:p w14:paraId="6BEC070E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 xml:space="preserve">- </w:t>
      </w:r>
      <w:r w:rsidRPr="00AA140A">
        <w:rPr>
          <w:rFonts w:eastAsia="Times New Roman" w:cstheme="minorHAnsi"/>
          <w:sz w:val="24"/>
          <w:szCs w:val="24"/>
          <w:lang w:eastAsia="pl-PL"/>
        </w:rPr>
        <w:t>kwestionariusz poręczyciela</w:t>
      </w:r>
    </w:p>
    <w:p w14:paraId="58D79933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zaświadczenie o zatrudnieniu wypełnione przez zakład pracy (nie starsze niż 30 dni)</w:t>
      </w:r>
    </w:p>
    <w:p w14:paraId="621D0FC5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wyciąg bankowy potwierdzający wpływ wynagrodzenia na rachunek</w:t>
      </w:r>
    </w:p>
    <w:p w14:paraId="0FF2D508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kopia dokumentu tożsamości</w:t>
      </w:r>
    </w:p>
    <w:p w14:paraId="71E34CED" w14:textId="77777777" w:rsidR="009732BA" w:rsidRPr="00AA140A" w:rsidRDefault="009732BA" w:rsidP="009732BA">
      <w:pPr>
        <w:spacing w:after="0"/>
        <w:ind w:left="397" w:right="397"/>
        <w:rPr>
          <w:rFonts w:eastAsia="Times New Roman" w:cstheme="minorHAnsi"/>
          <w:sz w:val="24"/>
          <w:szCs w:val="24"/>
          <w:lang w:eastAsia="pl-PL"/>
        </w:rPr>
      </w:pPr>
    </w:p>
    <w:p w14:paraId="380B02B4" w14:textId="77777777" w:rsidR="009732BA" w:rsidRPr="00AA140A" w:rsidRDefault="009732BA" w:rsidP="009732BA">
      <w:pPr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(Działalność gospodarcza, prowadzona co najmniej 2 lata)</w:t>
      </w:r>
    </w:p>
    <w:p w14:paraId="19738EBB" w14:textId="77777777" w:rsidR="009732BA" w:rsidRPr="00AA140A" w:rsidRDefault="009732BA" w:rsidP="009732BA">
      <w:pPr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 xml:space="preserve">- </w:t>
      </w:r>
      <w:r w:rsidRPr="00AA140A">
        <w:rPr>
          <w:rFonts w:eastAsia="Times New Roman" w:cstheme="minorHAnsi"/>
          <w:sz w:val="24"/>
          <w:szCs w:val="24"/>
          <w:lang w:eastAsia="pl-PL"/>
        </w:rPr>
        <w:t>kwestionariusz poręczyciela</w:t>
      </w:r>
    </w:p>
    <w:p w14:paraId="01375F86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lastRenderedPageBreak/>
        <w:t>- kopie dokumentów rejestrowych prowadzonej działalności</w:t>
      </w:r>
    </w:p>
    <w:p w14:paraId="44584503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deklaracje podatkowe za dwa ostatnie lata wraz z potwierdzeniem ich złożenia do US</w:t>
      </w:r>
    </w:p>
    <w:p w14:paraId="095C59D0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dokumenty finansowe za bieżący rok (sprawozdania finansowe: bilans, rachunek zysków i strat lub zestawienie książki przychodów i rozchodów )</w:t>
      </w:r>
    </w:p>
    <w:p w14:paraId="36EE37B6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ewidencja środków trwałych wraz z amortyzacją</w:t>
      </w:r>
    </w:p>
    <w:p w14:paraId="6BDC0EF7" w14:textId="77777777" w:rsidR="009732BA" w:rsidRPr="00AA140A" w:rsidRDefault="009732BA" w:rsidP="009732BA">
      <w:pPr>
        <w:ind w:left="397"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</w:p>
    <w:p w14:paraId="74370F5D" w14:textId="77777777" w:rsidR="009732BA" w:rsidRPr="00AA140A" w:rsidRDefault="009732BA" w:rsidP="009732BA">
      <w:pPr>
        <w:ind w:left="397" w:right="397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I</w:t>
      </w:r>
      <w:r>
        <w:rPr>
          <w:rFonts w:eastAsia="Times New Roman" w:cstheme="minorHAnsi"/>
          <w:b/>
          <w:sz w:val="24"/>
          <w:szCs w:val="24"/>
          <w:u w:val="single"/>
          <w:lang w:eastAsia="pl-PL"/>
        </w:rPr>
        <w:t>V</w:t>
      </w: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. PORĘCZENIE WEKSLOWE OSOBY PRAWNEJ</w:t>
      </w:r>
    </w:p>
    <w:p w14:paraId="7F5569E1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dokumenty rejestrowe spółki </w:t>
      </w:r>
    </w:p>
    <w:p w14:paraId="0ACBC9C3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deklaracje podatkowe za dwa ostatnie lata wraz z potwierdzeniem ich złożenia do US oraz sprawozdania finansowe</w:t>
      </w:r>
    </w:p>
    <w:p w14:paraId="4707FC68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sprawozdania finansowe za bieżący rok- ostatni ukończony kwartał </w:t>
      </w:r>
    </w:p>
    <w:p w14:paraId="186AEEF6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zgoda na weryfikację Poręczyciela w bazach - </w:t>
      </w:r>
      <w:proofErr w:type="spellStart"/>
      <w:r w:rsidRPr="00AA140A">
        <w:rPr>
          <w:rFonts w:eastAsia="Times New Roman" w:cstheme="minorHAnsi"/>
          <w:sz w:val="24"/>
          <w:szCs w:val="24"/>
          <w:lang w:eastAsia="pl-PL"/>
        </w:rPr>
        <w:t>InfoMonitor</w:t>
      </w:r>
      <w:proofErr w:type="spellEnd"/>
      <w:r w:rsidRPr="00AA140A">
        <w:rPr>
          <w:rFonts w:eastAsia="Times New Roman" w:cstheme="minorHAnsi"/>
          <w:sz w:val="24"/>
          <w:szCs w:val="24"/>
          <w:lang w:eastAsia="pl-PL"/>
        </w:rPr>
        <w:t xml:space="preserve"> i KRD</w:t>
      </w:r>
    </w:p>
    <w:p w14:paraId="595E0A4A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oświadczenie o terminowości spłaty zobowiązań publiczno-prawnych (ZUS,US)- oświadczenie o posiadanych zobowiązań finansowych (ich wysokość , termin spłaty) wraz z informacją  o terminowości ich obsługi</w:t>
      </w:r>
    </w:p>
    <w:p w14:paraId="07BD9832" w14:textId="77777777" w:rsidR="009732BA" w:rsidRPr="00AA140A" w:rsidRDefault="009732BA" w:rsidP="009732BA">
      <w:pPr>
        <w:ind w:left="397" w:right="397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kopia dokumentów tożsamości osób uprawionych do </w:t>
      </w:r>
      <w:r>
        <w:rPr>
          <w:rFonts w:eastAsia="Times New Roman" w:cstheme="minorHAnsi"/>
          <w:sz w:val="24"/>
          <w:szCs w:val="24"/>
          <w:lang w:eastAsia="pl-PL"/>
        </w:rPr>
        <w:t>re</w:t>
      </w:r>
      <w:r w:rsidRPr="00AA140A">
        <w:rPr>
          <w:rFonts w:eastAsia="Times New Roman" w:cstheme="minorHAnsi"/>
          <w:sz w:val="24"/>
          <w:szCs w:val="24"/>
          <w:lang w:eastAsia="pl-PL"/>
        </w:rPr>
        <w:t>prezentowania spółki</w:t>
      </w:r>
    </w:p>
    <w:p w14:paraId="0F846B71" w14:textId="77777777" w:rsidR="009732BA" w:rsidRPr="00AA140A" w:rsidRDefault="009732BA" w:rsidP="009732BA">
      <w:pPr>
        <w:ind w:left="397" w:right="397"/>
        <w:rPr>
          <w:rFonts w:eastAsia="Times New Roman" w:cstheme="minorHAnsi"/>
          <w:b/>
          <w:sz w:val="24"/>
          <w:szCs w:val="24"/>
          <w:lang w:eastAsia="pl-PL"/>
        </w:rPr>
      </w:pPr>
    </w:p>
    <w:p w14:paraId="661A8725" w14:textId="77777777" w:rsidR="009732BA" w:rsidRPr="00D16289" w:rsidRDefault="009732BA" w:rsidP="009732BA">
      <w:pPr>
        <w:ind w:left="1080" w:right="397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V.  </w:t>
      </w:r>
      <w:r w:rsidRPr="00D16289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ZASTAW REJESTROWY WRAZ Z PRZELEWEM WIERZYTELNOŚCI Z UMOWY UBEZPIECZENIA MAJĄTKOWEGO  </w:t>
      </w:r>
    </w:p>
    <w:p w14:paraId="22BF8004" w14:textId="77777777" w:rsidR="009732BA" w:rsidRPr="00AA140A" w:rsidRDefault="009732BA" w:rsidP="009732BA">
      <w:pPr>
        <w:ind w:left="1080" w:right="397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Uwaga!</w:t>
      </w: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 Weryfikując i akceptując zabezpieczenie w postaci zastawu rejestrowego  na:  </w:t>
      </w:r>
    </w:p>
    <w:p w14:paraId="279EF0AC" w14:textId="77777777" w:rsidR="009732BA" w:rsidRPr="00AA140A" w:rsidRDefault="009732BA" w:rsidP="009732BA">
      <w:pPr>
        <w:spacing w:after="0" w:line="240" w:lineRule="auto"/>
        <w:ind w:left="1077" w:right="397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1)</w:t>
      </w:r>
      <w:r w:rsidRPr="00AA140A">
        <w:rPr>
          <w:rFonts w:eastAsia="Times New Roman" w:cstheme="minorHAnsi"/>
          <w:bCs/>
          <w:sz w:val="24"/>
          <w:szCs w:val="24"/>
          <w:lang w:eastAsia="pl-PL"/>
        </w:rPr>
        <w:tab/>
        <w:t>rzeczach oznaczonych co do tożsamości,</w:t>
      </w:r>
    </w:p>
    <w:p w14:paraId="1783BA72" w14:textId="77777777" w:rsidR="009732BA" w:rsidRPr="00AA140A" w:rsidRDefault="009732BA" w:rsidP="009732BA">
      <w:pPr>
        <w:spacing w:after="0" w:line="240" w:lineRule="auto"/>
        <w:ind w:left="1077" w:right="397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2)</w:t>
      </w:r>
      <w:r w:rsidRPr="00AA140A">
        <w:rPr>
          <w:rFonts w:eastAsia="Times New Roman" w:cstheme="minorHAnsi"/>
          <w:bCs/>
          <w:sz w:val="24"/>
          <w:szCs w:val="24"/>
          <w:lang w:eastAsia="pl-PL"/>
        </w:rPr>
        <w:tab/>
        <w:t xml:space="preserve">wierzytelnościach pieniężnych wyrażonych w pieniądzu polskim lub walucie wymienialnej np. wierzytelności z rachunku bankowego, z akredytywy dokumentowej, z zastrzeżeniem, że FRW  z zachowaniem szczególnej ostrożności akceptuje zastaw rejestrowy na wierzytelności przyszłej lub warunkowej, </w:t>
      </w:r>
    </w:p>
    <w:p w14:paraId="33947797" w14:textId="77777777" w:rsidR="009732BA" w:rsidRPr="00AA140A" w:rsidRDefault="009732BA" w:rsidP="009732BA">
      <w:pPr>
        <w:spacing w:after="0" w:line="240" w:lineRule="auto"/>
        <w:ind w:left="1077" w:right="397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3)</w:t>
      </w:r>
      <w:r w:rsidRPr="00AA140A">
        <w:rPr>
          <w:rFonts w:eastAsia="Times New Roman" w:cstheme="minorHAnsi"/>
          <w:bCs/>
          <w:sz w:val="24"/>
          <w:szCs w:val="24"/>
          <w:lang w:eastAsia="pl-PL"/>
        </w:rPr>
        <w:tab/>
        <w:t>prawach z papierów wartościowych, (np. z akcji, obligacji, bonów skarbowych, dowodów składowych), z wyłączeniem akcji i obligacji niedopuszczonych do publicznego obrotu</w:t>
      </w:r>
    </w:p>
    <w:p w14:paraId="61BC9CF7" w14:textId="77777777" w:rsidR="009732BA" w:rsidRPr="00AA140A" w:rsidRDefault="009732BA" w:rsidP="009732BA">
      <w:pPr>
        <w:spacing w:after="0" w:line="240" w:lineRule="auto"/>
        <w:ind w:left="1077" w:right="397"/>
        <w:rPr>
          <w:rFonts w:eastAsia="Times New Roman" w:cstheme="minorHAnsi"/>
          <w:bCs/>
          <w:sz w:val="24"/>
          <w:szCs w:val="24"/>
          <w:lang w:eastAsia="pl-PL"/>
        </w:rPr>
      </w:pPr>
    </w:p>
    <w:p w14:paraId="1BDEAA04" w14:textId="77777777" w:rsidR="009732BA" w:rsidRPr="00AA140A" w:rsidRDefault="009732BA" w:rsidP="009732BA">
      <w:pPr>
        <w:ind w:left="1019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bierze pod uwagę w szczególności ich obecną wartość, potencjalną utratę wartości w czasie oraz płynność (możliwość odsprzedaży). Przedmiotem zastawu rejestrowego mogą być rzeczy lub prawa, które zastawca nabędzie w przyszłości (istniejące lub nieistniejące w chwili ustanawiania zastawu) jednakże obciążenie tych rzeczy lub praw zastawem rejestrowym staje się skuteczne z </w:t>
      </w:r>
      <w:r w:rsidRPr="00AA140A">
        <w:rPr>
          <w:rFonts w:eastAsia="Times New Roman" w:cstheme="minorHAnsi"/>
          <w:sz w:val="24"/>
          <w:szCs w:val="24"/>
          <w:lang w:eastAsia="pl-PL"/>
        </w:rPr>
        <w:lastRenderedPageBreak/>
        <w:t xml:space="preserve">chwilą ich nabycia przez zastawcę. Przedmiotem zastawu rejestrowego są rzeczy przyszłe w przypadku, gdy do chwili wpisania zastawu rejestrowego do rejestru zastawów ustanawiane jest na rzecz FRW przewłaszczenie rzeczy, które mają być przedmiotem tego zastawu. W przypadku, gdy docelowym zabezpieczeniem ma być zastaw rejestrowy, FRW akceptuje przewłaszczenie jako zabezpieczenie przejściowe, ustanowione pod warunkiem rozwiązującym w postaci wpisania zastawu rejestrowego na przedmiocie przewłaszczenia do rejestru zastawów. </w:t>
      </w:r>
    </w:p>
    <w:p w14:paraId="482D1FB6" w14:textId="77777777" w:rsidR="009732BA" w:rsidRPr="00AA140A" w:rsidRDefault="009732BA" w:rsidP="009732BA">
      <w:pPr>
        <w:spacing w:after="0" w:line="240" w:lineRule="auto"/>
        <w:ind w:left="1077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Warunkiem przyjęcia przez FRW zabezpieczenia w postaci zastawu rejestrowego na rzeczach ruchomych </w:t>
      </w:r>
    </w:p>
    <w:p w14:paraId="0626752B" w14:textId="77777777" w:rsidR="009732BA" w:rsidRPr="00AA140A" w:rsidRDefault="009732BA" w:rsidP="009732BA">
      <w:pPr>
        <w:spacing w:after="0" w:line="240" w:lineRule="auto"/>
        <w:ind w:left="1077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jest przelew na rzecz FRW wierzytelności z umowy ubezpieczenia majątkowego przedmiotu zastawu. </w:t>
      </w:r>
    </w:p>
    <w:p w14:paraId="0C69A341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W razie ustanowienia zastawu rejestrowego na pojeździe mechanicznym podlegającym rejestracji, zastaw ten zostanie również odnotowany w dowodzie rejestracyjnym pojazdu</w:t>
      </w:r>
    </w:p>
    <w:p w14:paraId="4BA8A3AB" w14:textId="77777777" w:rsidR="009732BA" w:rsidRPr="00AA140A" w:rsidRDefault="009732BA" w:rsidP="009732BA">
      <w:pPr>
        <w:ind w:left="1080" w:right="397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 xml:space="preserve">Dokumenty: </w:t>
      </w:r>
    </w:p>
    <w:p w14:paraId="1F9BB3A9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- polisa ubezpieczeniowa wystawiona przez ubezpieczyciela– w przypadku rzeczy ruchomych, dla których wymagane jest ubezpieczenia majątkowe, lub</w:t>
      </w:r>
    </w:p>
    <w:p w14:paraId="33481A62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- faktury, umowy handlowe realizowane w ramach prowadzonej przez Wnioskodawcę z tytułu zabezpieczenia działalności gospodarczej, wystawione/zawarte nie wcześniej niż 12 miesięcy przed złożeniem wniosku pożyczkowego, lub</w:t>
      </w:r>
    </w:p>
    <w:p w14:paraId="70290015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- pisemne umowy przenoszące prawo własności, np. sprzedaży, zamiany, darowizny, zawarte nie wcześniej niż 12 miesięcy przed złożeniem wniosku pożyczkowego, lub </w:t>
      </w:r>
    </w:p>
    <w:p w14:paraId="6FF527B4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>- oferta kupna/sprzedaży środków trwałych (faktura pro forma/ oferta handlowa) w przypadku zastawu rejestrowego na przewidzianych do zakupu środków trwałych, lub</w:t>
      </w:r>
    </w:p>
    <w:p w14:paraId="2B010AD2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- ewidencja środków trwałych i dokumenty potwierdzające nabycie środków trwałych (faktury/rachunki) w przypadku zastawu rejestrowego ustanawianego na już posiadanych środkach trwałych, </w:t>
      </w:r>
    </w:p>
    <w:p w14:paraId="6208D974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- kopia dowodu rejestracyjnego w przypadku zastawu rejestrowego na  pojeździe podlegającym rejestracji w Wydziale Komunikacji; </w:t>
      </w:r>
    </w:p>
    <w:p w14:paraId="088B15B4" w14:textId="77777777" w:rsidR="009732BA" w:rsidRPr="00AA140A" w:rsidRDefault="009732BA" w:rsidP="009732BA">
      <w:pPr>
        <w:ind w:left="1080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- zaświadczenia, potwierdzające, że przedmiot zastawu nie został obciążony zastawem rejestrowym i zastawem skarbowym oraz, że nie toczy się postępowanie o jego wpis do rejestru zastawów. </w:t>
      </w:r>
    </w:p>
    <w:p w14:paraId="5ACC56B5" w14:textId="77777777" w:rsidR="009732BA" w:rsidRPr="00AA140A" w:rsidRDefault="009732BA" w:rsidP="009732BA">
      <w:pPr>
        <w:spacing w:after="0" w:line="240" w:lineRule="auto"/>
        <w:ind w:left="1080"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Nie wymaga się przedłożenia:</w:t>
      </w:r>
    </w:p>
    <w:p w14:paraId="6C27400F" w14:textId="77777777" w:rsidR="009732BA" w:rsidRPr="00AA140A" w:rsidRDefault="009732BA" w:rsidP="009732BA">
      <w:pPr>
        <w:pStyle w:val="Akapitzlist"/>
        <w:numPr>
          <w:ilvl w:val="0"/>
          <w:numId w:val="5"/>
        </w:numPr>
        <w:spacing w:after="0" w:line="240" w:lineRule="auto"/>
        <w:ind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zaświadczenia z Centralnej Informacji o Zastawach Rejestrowych – w przypadku, gdy przedmiotem zastawu ma/mają być rzecz/y ruchoma/e nabywana/e na rynku pierwotnym,</w:t>
      </w:r>
    </w:p>
    <w:p w14:paraId="38D16547" w14:textId="77777777" w:rsidR="009732BA" w:rsidRPr="00AA140A" w:rsidRDefault="009732BA" w:rsidP="009732BA">
      <w:pPr>
        <w:pStyle w:val="Akapitzlist"/>
        <w:numPr>
          <w:ilvl w:val="0"/>
          <w:numId w:val="5"/>
        </w:numPr>
        <w:spacing w:after="0" w:line="240" w:lineRule="auto"/>
        <w:ind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lastRenderedPageBreak/>
        <w:t xml:space="preserve"> wypisu z Centralnego Rejestru Zastawów Skarbowych - w przypadku gdy dłużnik z tytułu zabezpieczenia przedłoży w FRW zaświadczenie właściwego organu o niezaleganiu z płatnością w podatkach oraz w składek do ZUS. </w:t>
      </w:r>
    </w:p>
    <w:p w14:paraId="542728F0" w14:textId="77777777" w:rsidR="009732BA" w:rsidRPr="00AA140A" w:rsidRDefault="009732BA" w:rsidP="009732BA">
      <w:pPr>
        <w:ind w:right="397"/>
        <w:rPr>
          <w:rFonts w:eastAsia="Times New Roman" w:cstheme="minorHAnsi"/>
          <w:sz w:val="24"/>
          <w:szCs w:val="24"/>
          <w:lang w:eastAsia="pl-PL"/>
        </w:rPr>
      </w:pPr>
    </w:p>
    <w:p w14:paraId="7D5A5859" w14:textId="77777777" w:rsidR="009732BA" w:rsidRPr="00D16289" w:rsidRDefault="009732BA" w:rsidP="009732BA">
      <w:pPr>
        <w:pStyle w:val="Akapitzlist"/>
        <w:numPr>
          <w:ilvl w:val="0"/>
          <w:numId w:val="7"/>
        </w:numPr>
        <w:ind w:right="397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6289">
        <w:rPr>
          <w:rFonts w:eastAsia="Times New Roman" w:cstheme="minorHAnsi"/>
          <w:b/>
          <w:sz w:val="24"/>
          <w:szCs w:val="24"/>
          <w:u w:val="single"/>
          <w:lang w:eastAsia="pl-PL"/>
        </w:rPr>
        <w:t>PRZEWŁASZCZENIE ŚRODKÓW TRWAŁYCH</w:t>
      </w:r>
    </w:p>
    <w:p w14:paraId="0DFC5462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Uwaga!</w:t>
      </w:r>
      <w:r w:rsidRPr="00AA140A">
        <w:rPr>
          <w:rFonts w:eastAsia="Times New Roman" w:cstheme="minorHAnsi"/>
          <w:sz w:val="24"/>
          <w:szCs w:val="24"/>
          <w:lang w:eastAsia="pl-PL"/>
        </w:rPr>
        <w:t xml:space="preserve"> Weryfikując i akceptując zabezpieczenie w postaci przewłaszczenia środków trwałych Fundusz bierze pod uwagę w szczególności ich obecną wartość, potencjalną utratę wartości w czasie oraz płynność (możliwość odsprzedaży). Z zasady nie są akceptowane drobne środki </w:t>
      </w:r>
      <w:r w:rsidRPr="00AA140A">
        <w:rPr>
          <w:rFonts w:eastAsia="Times New Roman" w:cstheme="minorHAnsi"/>
          <w:sz w:val="24"/>
          <w:szCs w:val="24"/>
          <w:lang w:eastAsia="pl-PL"/>
        </w:rPr>
        <w:tab/>
        <w:t>trwałe w postaci wyposażenia, np.; meble, sprzęt komputerowy czy też wysoce specjalistyczne  środki trwałe, dla których nie istnieje rynek  wtórny, co ograniczałoby możliwość ich odsprzedaży.</w:t>
      </w:r>
    </w:p>
    <w:p w14:paraId="243DE56E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Weryfikacja wartości zabezpieczenia odbywa się na podstawie faktur / umów / aktów notarialnych zakupu, jeżeli są  to rzeczy nowo nabyte, wpisu do ewidencji środków trwałych, aktualnych wycen, polis ubezpieczenia.</w:t>
      </w:r>
    </w:p>
    <w:p w14:paraId="75977EC8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Pożyczkobiorca zobowiązany jest do ubezpieczenia przewłaszczonych na rzecz FRW rzeczy i dokonania cesji praw z polisy na podstawie umowy cesji poświadczonej przez towarzystwo ubezpieczeniowe.</w:t>
      </w:r>
    </w:p>
    <w:p w14:paraId="4FE7A5FB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 xml:space="preserve">Dokumentacja: </w:t>
      </w:r>
    </w:p>
    <w:p w14:paraId="04D77A9C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oferta kupna/sprzedaży środków trwałych (faktura pro forma/ oferta handlowa) w przypadku przewłaszczenia kupowanych środków trwałych</w:t>
      </w:r>
    </w:p>
    <w:p w14:paraId="59875FC7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dokumenty potwierdzające nabycie środków trwałych (faktury/rachunki) w przypadku przewłaszczenia  już posiadanych środków trwałych</w:t>
      </w:r>
    </w:p>
    <w:p w14:paraId="39723C78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kopia dowodu rejestracyjnego w przypadku przewłaszczenia pojazdu podlegającego rejestracji w Wydziale Komunikacji,</w:t>
      </w:r>
    </w:p>
    <w:p w14:paraId="6E86A600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A140A">
        <w:rPr>
          <w:rFonts w:eastAsia="Times New Roman" w:cstheme="minorHAnsi"/>
          <w:bCs/>
          <w:sz w:val="24"/>
          <w:szCs w:val="24"/>
          <w:lang w:eastAsia="pl-PL"/>
        </w:rPr>
        <w:t xml:space="preserve">- zaświadczenia, potwierdzające, że przedmiot zastawu nie został obciążony zastawem rejestrowym i zastawem skarbowym oraz, że nie toczy się postępowanie o jego wpis do rejestru zastawów. </w:t>
      </w:r>
    </w:p>
    <w:p w14:paraId="3E9B491C" w14:textId="77777777" w:rsidR="009732BA" w:rsidRPr="00AA140A" w:rsidRDefault="009732BA" w:rsidP="009732BA">
      <w:pPr>
        <w:spacing w:after="0" w:line="240" w:lineRule="auto"/>
        <w:ind w:right="397" w:firstLine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>Nie wymaga się przedłożenia:</w:t>
      </w:r>
    </w:p>
    <w:p w14:paraId="66507B6E" w14:textId="77777777" w:rsidR="009732BA" w:rsidRPr="00AA140A" w:rsidRDefault="009732BA" w:rsidP="009732BA">
      <w:pPr>
        <w:pStyle w:val="Akapitzlist"/>
        <w:numPr>
          <w:ilvl w:val="0"/>
          <w:numId w:val="6"/>
        </w:numPr>
        <w:spacing w:after="0" w:line="240" w:lineRule="auto"/>
        <w:ind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zaświadczenia z Centralnej Informacji o Zastawach Rejestrowych – w przypadku, gdy przedmiotem przewłaszczenia ma/mają być rzecz/y ruchoma/e nabywana/e na rynku pierwotnym,  </w:t>
      </w:r>
    </w:p>
    <w:p w14:paraId="389C1702" w14:textId="77777777" w:rsidR="009732BA" w:rsidRPr="00AA140A" w:rsidRDefault="009732BA" w:rsidP="009732BA">
      <w:pPr>
        <w:pStyle w:val="Akapitzlist"/>
        <w:numPr>
          <w:ilvl w:val="0"/>
          <w:numId w:val="6"/>
        </w:numPr>
        <w:spacing w:after="0" w:line="240" w:lineRule="auto"/>
        <w:ind w:right="397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wypisu z Centralnego Rejestru Zastawów Skarbowych - w przypadku gdy dłużnik z tytułu zabezpieczenia przedłoży w FRW zaświadczenie właściwego organu o niezaleganiu z płatnością w podatkach oraz w składek do ZUS. </w:t>
      </w:r>
    </w:p>
    <w:p w14:paraId="572B7EB8" w14:textId="77777777" w:rsidR="009732BA" w:rsidRPr="00AA140A" w:rsidRDefault="009732BA" w:rsidP="009732BA">
      <w:pPr>
        <w:ind w:right="397"/>
        <w:rPr>
          <w:rFonts w:eastAsia="Times New Roman" w:cstheme="minorHAnsi"/>
          <w:b/>
          <w:sz w:val="24"/>
          <w:szCs w:val="24"/>
          <w:lang w:eastAsia="pl-PL"/>
        </w:rPr>
      </w:pPr>
    </w:p>
    <w:p w14:paraId="3AA92E43" w14:textId="77777777" w:rsidR="009732BA" w:rsidRPr="00D16289" w:rsidRDefault="009732BA" w:rsidP="009732BA">
      <w:pPr>
        <w:pStyle w:val="Akapitzlist"/>
        <w:numPr>
          <w:ilvl w:val="0"/>
          <w:numId w:val="7"/>
        </w:numPr>
        <w:ind w:right="397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6289">
        <w:rPr>
          <w:rFonts w:eastAsia="Times New Roman" w:cstheme="minorHAnsi"/>
          <w:b/>
          <w:sz w:val="24"/>
          <w:szCs w:val="24"/>
          <w:u w:val="single"/>
          <w:lang w:eastAsia="pl-PL"/>
        </w:rPr>
        <w:t>HIPOTEKA NA NIERUCHOMOŚCI</w:t>
      </w:r>
    </w:p>
    <w:p w14:paraId="07609CE1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lastRenderedPageBreak/>
        <w:t>Uwaga!</w:t>
      </w:r>
      <w:r w:rsidRPr="00AA140A">
        <w:rPr>
          <w:rFonts w:eastAsia="Times New Roman" w:cstheme="minorHAnsi"/>
          <w:sz w:val="24"/>
          <w:szCs w:val="24"/>
          <w:lang w:eastAsia="pl-PL"/>
        </w:rPr>
        <w:t xml:space="preserve"> Fundusz przyjmuje na zabezpieczenie nieruchomości użytkowe. W drodze wyjątku gdy Wnioskodawca posiada dwa lokale mieszkalne, a nieruchomość na zabezpieczenie nie jest </w:t>
      </w:r>
      <w:r w:rsidRPr="00AA140A">
        <w:rPr>
          <w:rFonts w:eastAsia="Times New Roman" w:cstheme="minorHAnsi"/>
          <w:sz w:val="24"/>
          <w:szCs w:val="24"/>
          <w:lang w:eastAsia="pl-PL"/>
        </w:rPr>
        <w:tab/>
        <w:t xml:space="preserve">przez niego zamieszkiwana Fundusz może ustanowić hipotekę na lokalu mieszkalnym. Ograniczeniom podlegają zabezpieczenia na nieruchomościach stanowiących grunty rolne. </w:t>
      </w:r>
    </w:p>
    <w:p w14:paraId="206F23BB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Weryfikacja wartości nieruchomości odbywa się na podstawie operatu szacunkowego lub ustalonej ceny zakupu. W drodze wyjątku gdy wartość nieruchomości na zabezpieczenie jest </w:t>
      </w:r>
      <w:r w:rsidRPr="00AA140A">
        <w:rPr>
          <w:rFonts w:eastAsia="Times New Roman" w:cstheme="minorHAnsi"/>
          <w:sz w:val="24"/>
          <w:szCs w:val="24"/>
          <w:lang w:eastAsia="pl-PL"/>
        </w:rPr>
        <w:tab/>
        <w:t xml:space="preserve">możliwa do ustalenia metodą porównawczą poza wszelką wątpliwość, Fundusz może </w:t>
      </w:r>
      <w:r w:rsidRPr="00AA140A">
        <w:rPr>
          <w:rFonts w:eastAsia="Times New Roman" w:cstheme="minorHAnsi"/>
          <w:sz w:val="24"/>
          <w:szCs w:val="24"/>
          <w:lang w:eastAsia="pl-PL"/>
        </w:rPr>
        <w:tab/>
        <w:t xml:space="preserve">odstąpić od weryfikacji operatu szacunkowego. </w:t>
      </w:r>
    </w:p>
    <w:p w14:paraId="62BA750E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Ustanowienie hipoteki na nieruchomości odbywa się wyłącznie za pośrednictwem   notariusza, który składa wniosek do Wydziału Ksiąg Wieczystych w imieniu Pożyczkobiorcy. </w:t>
      </w:r>
    </w:p>
    <w:p w14:paraId="262975CD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Środki z pożyczki mogą być uruchomione po ustanowieniu zabezpieczenia, tj. złożenia wniosku o wpis hipoteki do Księgi Wieczystej. W wyjątkowych przypadkach, gdy sprzedającym nieruchomość jest jednostka samorządu  terytorialnego, środki z pożyczki mogą być uruchomione przed złożeniem wniosku o wpis hipoteki. </w:t>
      </w:r>
    </w:p>
    <w:p w14:paraId="1F98F98A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A140A">
        <w:rPr>
          <w:rFonts w:eastAsia="Times New Roman" w:cstheme="minorHAnsi"/>
          <w:b/>
          <w:sz w:val="24"/>
          <w:szCs w:val="24"/>
          <w:lang w:eastAsia="pl-PL"/>
        </w:rPr>
        <w:t>Dokumenty:</w:t>
      </w:r>
    </w:p>
    <w:p w14:paraId="4AA9E239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odpis z Księgi Wieczystej nieruchomości </w:t>
      </w:r>
    </w:p>
    <w:p w14:paraId="72587C4C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</w:t>
      </w:r>
      <w:proofErr w:type="spellStart"/>
      <w:r w:rsidRPr="00AA140A">
        <w:rPr>
          <w:rFonts w:eastAsia="Times New Roman" w:cstheme="minorHAnsi"/>
          <w:sz w:val="24"/>
          <w:szCs w:val="24"/>
          <w:lang w:eastAsia="pl-PL"/>
        </w:rPr>
        <w:t>wyrys</w:t>
      </w:r>
      <w:proofErr w:type="spellEnd"/>
      <w:r w:rsidRPr="00AA140A">
        <w:rPr>
          <w:rFonts w:eastAsia="Times New Roman" w:cstheme="minorHAnsi"/>
          <w:sz w:val="24"/>
          <w:szCs w:val="24"/>
          <w:lang w:eastAsia="pl-PL"/>
        </w:rPr>
        <w:t xml:space="preserve"> mapy oraz wypis z  ewidencji gruntów i budynków w przypadku nieruchomości gruntowych i budynków wolnostojących </w:t>
      </w:r>
    </w:p>
    <w:p w14:paraId="47A55669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 xml:space="preserve">- operat szacunkowy (konieczny gdy wartości nieruchomości nie można ustalić metodą porównawczą ponad wszelką wątpliwość) lub w przypadku wnioskowanej pożyczki o wartości równej lub wyższej kwocie 300.000,00 PLN. </w:t>
      </w:r>
    </w:p>
    <w:p w14:paraId="2CF0DC14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AA140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FRW w przypadkach wymogu przedstawienia przez Wnioskodawcę operatu szacunkowego sporządzonego przez rzeczoznawcę majątkowego  w terminie do 12 miesięcy poprzedzających złożenie wniosku pożyczkowego.</w:t>
      </w:r>
    </w:p>
    <w:p w14:paraId="2F37AE41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14:paraId="0624B5EE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umowa  nabycia nieruchomości (akt notarialny, darowizna) w przypadku ustanowienia hipoteki na posiadanej nieruchomości</w:t>
      </w:r>
    </w:p>
    <w:p w14:paraId="4964156C" w14:textId="77777777" w:rsidR="009732BA" w:rsidRPr="00AA140A" w:rsidRDefault="009732BA" w:rsidP="009732BA">
      <w:pPr>
        <w:ind w:left="397" w:right="39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A140A">
        <w:rPr>
          <w:rFonts w:eastAsia="Times New Roman" w:cstheme="minorHAnsi"/>
          <w:sz w:val="24"/>
          <w:szCs w:val="24"/>
          <w:lang w:eastAsia="pl-PL"/>
        </w:rPr>
        <w:t>- oświadczenie właściciela nieruchomości zawierające zgodę na ustanowienie hipoteki , w przypadku, gdy jest nią inna osoba, niż Wnioskodawca</w:t>
      </w:r>
    </w:p>
    <w:p w14:paraId="1F969F49" w14:textId="77777777" w:rsidR="009732BA" w:rsidRPr="00AA140A" w:rsidRDefault="009732BA" w:rsidP="009732BA">
      <w:pPr>
        <w:ind w:right="39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0697F32" w14:textId="77777777" w:rsidR="009732BA" w:rsidRPr="00AA140A" w:rsidRDefault="009732BA" w:rsidP="00D50019">
      <w:pPr>
        <w:widowControl w:val="0"/>
        <w:suppressAutoHyphens/>
        <w:spacing w:after="0" w:line="240" w:lineRule="auto"/>
        <w:ind w:left="397" w:right="397"/>
        <w:jc w:val="both"/>
        <w:rPr>
          <w:rFonts w:eastAsia="Times New Roman" w:cstheme="minorHAnsi"/>
          <w:kern w:val="1"/>
          <w:sz w:val="24"/>
          <w:szCs w:val="24"/>
          <w:lang w:eastAsia="pl-PL" w:bidi="hi-IN"/>
        </w:rPr>
      </w:pPr>
      <w:r w:rsidRPr="00AA140A">
        <w:rPr>
          <w:rFonts w:eastAsia="Times New Roman" w:cstheme="minorHAnsi"/>
          <w:b/>
          <w:kern w:val="1"/>
          <w:sz w:val="24"/>
          <w:szCs w:val="24"/>
          <w:lang w:eastAsia="pl-PL" w:bidi="hi-IN"/>
        </w:rPr>
        <w:t xml:space="preserve">FUNDUSZ ZASTRZEGA PRAWO DO WERYFIKACJI DODATKOWYCH DOKUMENTÓW ZWIĄZANYCH Z WYBRANĄ FORMĄ ZABEZPIECZENIA W CELU OKREŚLENIE JEGO WARTOŚCI. </w:t>
      </w:r>
    </w:p>
    <w:p w14:paraId="1A418C8A" w14:textId="77777777" w:rsidR="009732BA" w:rsidRPr="00AA140A" w:rsidRDefault="009732BA" w:rsidP="00D50019">
      <w:pPr>
        <w:widowControl w:val="0"/>
        <w:suppressAutoHyphens/>
        <w:spacing w:after="0" w:line="240" w:lineRule="auto"/>
        <w:ind w:left="397" w:right="397"/>
        <w:jc w:val="both"/>
        <w:rPr>
          <w:rFonts w:eastAsia="Times New Roman" w:cstheme="minorHAnsi"/>
          <w:b/>
          <w:kern w:val="1"/>
          <w:sz w:val="24"/>
          <w:szCs w:val="24"/>
          <w:lang w:eastAsia="pl-PL" w:bidi="hi-IN"/>
        </w:rPr>
      </w:pPr>
      <w:r w:rsidRPr="00AA140A">
        <w:rPr>
          <w:rFonts w:eastAsia="Times New Roman" w:cstheme="minorHAnsi"/>
          <w:b/>
          <w:kern w:val="1"/>
          <w:sz w:val="24"/>
          <w:szCs w:val="24"/>
          <w:lang w:eastAsia="pl-PL" w:bidi="hi-IN"/>
        </w:rPr>
        <w:t xml:space="preserve">PROPOZYCJE ZABEZPIECZENIA NIE WYMIENIONE POWYŻEJ SĄ USTALANE </w:t>
      </w:r>
      <w:r w:rsidRPr="00AA140A">
        <w:rPr>
          <w:rFonts w:eastAsia="Times New Roman" w:cstheme="minorHAnsi"/>
          <w:b/>
          <w:kern w:val="1"/>
          <w:sz w:val="24"/>
          <w:szCs w:val="24"/>
          <w:lang w:eastAsia="pl-PL" w:bidi="hi-IN"/>
        </w:rPr>
        <w:lastRenderedPageBreak/>
        <w:t>INDYWIDUALNIE</w:t>
      </w:r>
    </w:p>
    <w:p w14:paraId="5FB948D9" w14:textId="47B52DBA" w:rsidR="009732BA" w:rsidRPr="00AA140A" w:rsidRDefault="009732BA" w:rsidP="00D50019">
      <w:pPr>
        <w:widowControl w:val="0"/>
        <w:suppressAutoHyphens/>
        <w:spacing w:after="0" w:line="240" w:lineRule="auto"/>
        <w:ind w:left="397" w:right="397"/>
        <w:jc w:val="both"/>
        <w:rPr>
          <w:rFonts w:eastAsia="Times New Roman" w:cstheme="minorHAnsi"/>
          <w:b/>
          <w:kern w:val="1"/>
          <w:sz w:val="24"/>
          <w:szCs w:val="24"/>
          <w:lang w:eastAsia="hi-IN" w:bidi="hi-IN"/>
        </w:rPr>
      </w:pPr>
      <w:r w:rsidRPr="00AA140A"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 xml:space="preserve">FRW nie akceptuje w ramach </w:t>
      </w:r>
      <w:r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>wnioskowan</w:t>
      </w:r>
      <w:r w:rsidR="00D50019"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>ej</w:t>
      </w:r>
      <w:r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D50019" w:rsidRPr="00D50019"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 xml:space="preserve">pożyczki ze środków Funduszu Dostępności </w:t>
      </w:r>
      <w:r w:rsidRPr="00AA140A"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>transakcji</w:t>
      </w:r>
      <w:r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 xml:space="preserve"> </w:t>
      </w:r>
      <w:r w:rsidRPr="00AA140A">
        <w:rPr>
          <w:rFonts w:eastAsia="Times New Roman" w:cstheme="minorHAnsi"/>
          <w:b/>
          <w:kern w:val="1"/>
          <w:sz w:val="24"/>
          <w:szCs w:val="24"/>
          <w:lang w:eastAsia="hi-IN" w:bidi="hi-IN"/>
        </w:rPr>
        <w:t>pomiędzy podmiotami powiązanymi!!!</w:t>
      </w:r>
    </w:p>
    <w:p w14:paraId="622C87F1" w14:textId="77777777" w:rsidR="009732BA" w:rsidRPr="00AA140A" w:rsidRDefault="009732BA" w:rsidP="009732BA">
      <w:pPr>
        <w:widowControl w:val="0"/>
        <w:suppressAutoHyphens/>
        <w:spacing w:after="0" w:line="240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616823F5" w14:textId="77777777" w:rsidR="009732BA" w:rsidRPr="00AA140A" w:rsidRDefault="009732BA" w:rsidP="009732BA">
      <w:pPr>
        <w:widowControl w:val="0"/>
        <w:suppressAutoHyphens/>
        <w:spacing w:after="0" w:line="240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3384E0F" w14:textId="77777777" w:rsidR="009732BA" w:rsidRPr="00AA140A" w:rsidRDefault="009732BA" w:rsidP="009732BA">
      <w:pPr>
        <w:rPr>
          <w:rFonts w:cstheme="minorHAnsi"/>
          <w:sz w:val="24"/>
          <w:szCs w:val="24"/>
        </w:rPr>
      </w:pPr>
    </w:p>
    <w:p w14:paraId="648140D6" w14:textId="77777777" w:rsidR="006E5ED4" w:rsidRPr="009732BA" w:rsidRDefault="006E5ED4" w:rsidP="009732BA"/>
    <w:sectPr w:rsidR="006E5ED4" w:rsidRPr="009732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6BB57" w14:textId="77777777" w:rsidR="00B35DE7" w:rsidRDefault="00B35DE7" w:rsidP="006E5ED4">
      <w:pPr>
        <w:spacing w:after="0" w:line="240" w:lineRule="auto"/>
      </w:pPr>
      <w:r>
        <w:separator/>
      </w:r>
    </w:p>
  </w:endnote>
  <w:endnote w:type="continuationSeparator" w:id="0">
    <w:p w14:paraId="5BC18406" w14:textId="77777777" w:rsidR="00B35DE7" w:rsidRDefault="00B35DE7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0372318"/>
      <w:docPartObj>
        <w:docPartGallery w:val="Page Numbers (Bottom of Page)"/>
        <w:docPartUnique/>
      </w:docPartObj>
    </w:sdtPr>
    <w:sdtEndPr/>
    <w:sdtContent>
      <w:p w14:paraId="3B1D4C02" w14:textId="20816733" w:rsidR="00A46AA6" w:rsidRDefault="00D64C53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A672532" wp14:editId="4ECCFAA1">
              <wp:simplePos x="0" y="0"/>
              <wp:positionH relativeFrom="margin">
                <wp:align>right</wp:align>
              </wp:positionH>
              <wp:positionV relativeFrom="paragraph">
                <wp:posOffset>-119380</wp:posOffset>
              </wp:positionV>
              <wp:extent cx="5760720" cy="730250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Fundusz Dostępności - dolna bel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730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A46AA6">
          <w:fldChar w:fldCharType="begin"/>
        </w:r>
        <w:r w:rsidR="00A46AA6">
          <w:instrText>PAGE   \* MERGEFORMAT</w:instrText>
        </w:r>
        <w:r w:rsidR="00A46AA6">
          <w:fldChar w:fldCharType="separate"/>
        </w:r>
        <w:r w:rsidR="00A46AA6">
          <w:t>2</w:t>
        </w:r>
        <w:r w:rsidR="00A46AA6">
          <w:fldChar w:fldCharType="end"/>
        </w:r>
      </w:p>
    </w:sdtContent>
  </w:sdt>
  <w:p w14:paraId="6B14E9B5" w14:textId="4EA0D8A0" w:rsidR="006E5ED4" w:rsidRDefault="006E5E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389BE" w14:textId="77777777" w:rsidR="00B35DE7" w:rsidRDefault="00B35DE7" w:rsidP="006E5ED4">
      <w:pPr>
        <w:spacing w:after="0" w:line="240" w:lineRule="auto"/>
      </w:pPr>
      <w:r>
        <w:separator/>
      </w:r>
    </w:p>
  </w:footnote>
  <w:footnote w:type="continuationSeparator" w:id="0">
    <w:p w14:paraId="6141207B" w14:textId="77777777" w:rsidR="00B35DE7" w:rsidRDefault="00B35DE7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6F148CD5" w:rsidR="006E5ED4" w:rsidRDefault="00D64C53" w:rsidP="00D64C53">
    <w:pPr>
      <w:pStyle w:val="Nagwek"/>
      <w:tabs>
        <w:tab w:val="clear" w:pos="4536"/>
        <w:tab w:val="clear" w:pos="9072"/>
        <w:tab w:val="left" w:pos="660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EB6E446" wp14:editId="047FEF27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D4D91"/>
    <w:multiLevelType w:val="multilevel"/>
    <w:tmpl w:val="27485482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3A5D50E3"/>
    <w:multiLevelType w:val="hybridMultilevel"/>
    <w:tmpl w:val="CC86BE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7A40"/>
    <w:multiLevelType w:val="hybridMultilevel"/>
    <w:tmpl w:val="5CAE1C88"/>
    <w:lvl w:ilvl="0" w:tplc="4EE06274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E874A1D"/>
    <w:multiLevelType w:val="singleLevel"/>
    <w:tmpl w:val="9E2CAF60"/>
    <w:lvl w:ilvl="0">
      <w:start w:val="1"/>
      <w:numFmt w:val="decimal"/>
      <w:lvlText w:val="%1)"/>
      <w:lvlJc w:val="left"/>
      <w:pPr>
        <w:tabs>
          <w:tab w:val="num" w:pos="1040"/>
        </w:tabs>
        <w:ind w:left="1021" w:hanging="341"/>
      </w:pPr>
      <w:rPr>
        <w:rFonts w:ascii="Calibri" w:eastAsia="Times New Roman" w:hAnsi="Calibri" w:cs="Times New Roman"/>
      </w:rPr>
    </w:lvl>
  </w:abstractNum>
  <w:abstractNum w:abstractNumId="4" w15:restartNumberingAfterBreak="0">
    <w:nsid w:val="54DF3576"/>
    <w:multiLevelType w:val="hybridMultilevel"/>
    <w:tmpl w:val="F2D0D9F4"/>
    <w:lvl w:ilvl="0" w:tplc="22DA4AC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780B14"/>
    <w:multiLevelType w:val="hybridMultilevel"/>
    <w:tmpl w:val="5B08B8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B2C39"/>
    <w:multiLevelType w:val="hybridMultilevel"/>
    <w:tmpl w:val="55D8AB60"/>
    <w:lvl w:ilvl="0" w:tplc="6C94FF1A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15245D"/>
    <w:rsid w:val="00260F6C"/>
    <w:rsid w:val="002D40B1"/>
    <w:rsid w:val="002E0ADC"/>
    <w:rsid w:val="00496C6E"/>
    <w:rsid w:val="005012AF"/>
    <w:rsid w:val="005A612D"/>
    <w:rsid w:val="006676DE"/>
    <w:rsid w:val="006E5ED4"/>
    <w:rsid w:val="00774BEB"/>
    <w:rsid w:val="00776604"/>
    <w:rsid w:val="009732BA"/>
    <w:rsid w:val="00A46AA6"/>
    <w:rsid w:val="00AD47DC"/>
    <w:rsid w:val="00B35DE7"/>
    <w:rsid w:val="00BF11B7"/>
    <w:rsid w:val="00C67120"/>
    <w:rsid w:val="00D50019"/>
    <w:rsid w:val="00D64C53"/>
    <w:rsid w:val="00E626DD"/>
    <w:rsid w:val="00E85874"/>
    <w:rsid w:val="00F42147"/>
    <w:rsid w:val="00FB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Akapitzlist">
    <w:name w:val="List Paragraph"/>
    <w:basedOn w:val="Normalny"/>
    <w:link w:val="AkapitzlistZnak"/>
    <w:uiPriority w:val="34"/>
    <w:qFormat/>
    <w:rsid w:val="00AD47DC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AD47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732B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A955-1028-4DB2-AAFB-F017AE59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1878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5</cp:revision>
  <dcterms:created xsi:type="dcterms:W3CDTF">2023-08-11T05:53:00Z</dcterms:created>
  <dcterms:modified xsi:type="dcterms:W3CDTF">2025-03-20T11:54:00Z</dcterms:modified>
</cp:coreProperties>
</file>