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92BC" w14:textId="77777777" w:rsidR="0099050A" w:rsidRDefault="0099050A" w:rsidP="0099050A">
      <w:pPr>
        <w:autoSpaceDE w:val="0"/>
        <w:autoSpaceDN w:val="0"/>
        <w:adjustRightInd w:val="0"/>
        <w:spacing w:after="0"/>
        <w:jc w:val="center"/>
        <w:rPr>
          <w:rFonts w:ascii="Times New Roman" w:eastAsia="Times New Roman" w:hAnsi="Times New Roman" w:cs="Times New Roman"/>
          <w:b/>
          <w:bCs/>
          <w:sz w:val="28"/>
          <w:szCs w:val="24"/>
          <w:lang w:eastAsia="pl-PL"/>
        </w:rPr>
      </w:pPr>
    </w:p>
    <w:p w14:paraId="62D70F3E" w14:textId="77777777" w:rsidR="0099050A" w:rsidRDefault="0099050A" w:rsidP="0099050A">
      <w:pPr>
        <w:autoSpaceDE w:val="0"/>
        <w:autoSpaceDN w:val="0"/>
        <w:adjustRightInd w:val="0"/>
        <w:spacing w:after="0"/>
        <w:jc w:val="center"/>
        <w:rPr>
          <w:rFonts w:ascii="Times New Roman" w:eastAsia="Times New Roman" w:hAnsi="Times New Roman" w:cs="Times New Roman"/>
          <w:b/>
          <w:bCs/>
          <w:sz w:val="28"/>
          <w:szCs w:val="24"/>
          <w:lang w:eastAsia="pl-PL"/>
        </w:rPr>
      </w:pPr>
    </w:p>
    <w:p w14:paraId="7039F666" w14:textId="6E7A3F30"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8"/>
          <w:szCs w:val="24"/>
          <w:lang w:eastAsia="pl-PL"/>
        </w:rPr>
      </w:pPr>
      <w:r w:rsidRPr="0099050A">
        <w:rPr>
          <w:rFonts w:ascii="Times New Roman" w:eastAsia="Times New Roman" w:hAnsi="Times New Roman" w:cs="Times New Roman"/>
          <w:b/>
          <w:bCs/>
          <w:sz w:val="28"/>
          <w:szCs w:val="24"/>
          <w:lang w:eastAsia="pl-PL"/>
        </w:rPr>
        <w:t>REGULAMIN</w:t>
      </w:r>
    </w:p>
    <w:p w14:paraId="7AAE9A98"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8"/>
          <w:szCs w:val="24"/>
          <w:lang w:eastAsia="pl-PL"/>
        </w:rPr>
      </w:pPr>
      <w:r w:rsidRPr="0099050A">
        <w:rPr>
          <w:rFonts w:ascii="Times New Roman" w:eastAsia="Times New Roman" w:hAnsi="Times New Roman" w:cs="Times New Roman"/>
          <w:b/>
          <w:bCs/>
          <w:sz w:val="28"/>
          <w:szCs w:val="24"/>
          <w:lang w:eastAsia="pl-PL"/>
        </w:rPr>
        <w:t>Funduszu Pożyczkowego</w:t>
      </w:r>
    </w:p>
    <w:p w14:paraId="176DAD96"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8"/>
          <w:szCs w:val="24"/>
          <w:lang w:eastAsia="pl-PL"/>
        </w:rPr>
      </w:pPr>
      <w:r w:rsidRPr="0099050A">
        <w:rPr>
          <w:rFonts w:ascii="Times New Roman" w:eastAsia="Times New Roman" w:hAnsi="Times New Roman" w:cs="Times New Roman"/>
          <w:b/>
          <w:bCs/>
          <w:sz w:val="28"/>
          <w:szCs w:val="24"/>
          <w:lang w:eastAsia="pl-PL"/>
        </w:rPr>
        <w:t>Pożyczka Uniwersalna</w:t>
      </w:r>
    </w:p>
    <w:p w14:paraId="65A90A6A"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p>
    <w:p w14:paraId="210163D2"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p>
    <w:p w14:paraId="4D5F2490" w14:textId="77777777" w:rsidR="0099050A" w:rsidRPr="0099050A" w:rsidRDefault="0099050A" w:rsidP="0099050A">
      <w:pPr>
        <w:autoSpaceDE w:val="0"/>
        <w:autoSpaceDN w:val="0"/>
        <w:adjustRightInd w:val="0"/>
        <w:spacing w:before="240"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Cele i zasięg</w:t>
      </w:r>
    </w:p>
    <w:p w14:paraId="560A87C5"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1</w:t>
      </w:r>
    </w:p>
    <w:p w14:paraId="6D077A23" w14:textId="77777777" w:rsidR="0099050A" w:rsidRPr="0099050A" w:rsidRDefault="0099050A" w:rsidP="00F36D3C">
      <w:pPr>
        <w:numPr>
          <w:ilvl w:val="0"/>
          <w:numId w:val="2"/>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Niniejszy Regulamin Funduszu Pożyczkowego Pożyczka Uniwersalna (nazwa skrócona: Regulamin FP PU) określa zasady wspierania przez Fundusz Regionu Wałbrzyskiego (FRW) przedsięwzięć realizowanych przez </w:t>
      </w:r>
      <w:proofErr w:type="spellStart"/>
      <w:r w:rsidRPr="0099050A">
        <w:rPr>
          <w:rFonts w:ascii="Times New Roman" w:eastAsia="Times New Roman" w:hAnsi="Times New Roman" w:cs="Times New Roman"/>
          <w:sz w:val="24"/>
          <w:szCs w:val="24"/>
          <w:lang w:eastAsia="pl-PL"/>
        </w:rPr>
        <w:t>mikroprzedsiębiorców</w:t>
      </w:r>
      <w:proofErr w:type="spellEnd"/>
      <w:r w:rsidRPr="0099050A">
        <w:rPr>
          <w:rFonts w:ascii="Times New Roman" w:eastAsia="Times New Roman" w:hAnsi="Times New Roman" w:cs="Times New Roman"/>
          <w:sz w:val="24"/>
          <w:szCs w:val="24"/>
          <w:lang w:eastAsia="pl-PL"/>
        </w:rPr>
        <w:t xml:space="preserve"> oraz małych i średnich przedsiębiorców (MŚP) z siedzibą lub prowadzących działalność gospodarczą na terenie województwa zachodniopomorskiego, z wykorzystaniem środków zarządzanych przez Zachodniopomorską Agencję Rozwoju Regionalnego S.A. (ZARR) oraz wkładu FRW, z przeznaczeniem na finansowanie celów obrotowych i/lub inwestycyjnych służących wsparciu rozwoju i przyczyniających się do tworzenia warunków sprzyjających budowie konkurencyjnego sektora MŚP.</w:t>
      </w:r>
    </w:p>
    <w:p w14:paraId="52E58E4B" w14:textId="77777777" w:rsidR="0099050A" w:rsidRPr="0099050A" w:rsidRDefault="0099050A" w:rsidP="00F36D3C">
      <w:pPr>
        <w:numPr>
          <w:ilvl w:val="0"/>
          <w:numId w:val="2"/>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FP PU utworzony został na mocy Umowy Pośrednictwa Finansowego na Produkt Finansowy Pożyczka Uniwersalna zawartej pomiędzy FRW a ZARR (</w:t>
      </w:r>
      <w:r w:rsidRPr="0099050A">
        <w:rPr>
          <w:rFonts w:ascii="Times New Roman" w:eastAsiaTheme="minorEastAsia" w:hAnsi="Times New Roman" w:cs="Arial"/>
          <w:color w:val="000000"/>
          <w:sz w:val="24"/>
          <w:szCs w:val="24"/>
          <w:lang w:eastAsia="pl-PL"/>
        </w:rPr>
        <w:t>Umowa Operacyjna I Stopnia)</w:t>
      </w:r>
      <w:r w:rsidRPr="0099050A">
        <w:rPr>
          <w:rFonts w:ascii="Times New Roman" w:eastAsia="Times New Roman" w:hAnsi="Times New Roman" w:cs="Times New Roman"/>
          <w:sz w:val="24"/>
          <w:szCs w:val="24"/>
          <w:lang w:eastAsia="pl-PL"/>
        </w:rPr>
        <w:t>.</w:t>
      </w:r>
    </w:p>
    <w:p w14:paraId="4B90BD92" w14:textId="77777777" w:rsidR="0099050A" w:rsidRPr="0099050A" w:rsidRDefault="0099050A" w:rsidP="0099050A">
      <w:pPr>
        <w:autoSpaceDE w:val="0"/>
        <w:autoSpaceDN w:val="0"/>
        <w:adjustRightInd w:val="0"/>
        <w:spacing w:after="240"/>
        <w:rPr>
          <w:rFonts w:ascii="Times New Roman" w:eastAsia="Times New Roman" w:hAnsi="Times New Roman" w:cs="Times New Roman"/>
          <w:sz w:val="24"/>
          <w:szCs w:val="24"/>
          <w:lang w:eastAsia="pl-PL"/>
        </w:rPr>
      </w:pPr>
    </w:p>
    <w:p w14:paraId="0AC55A37" w14:textId="77777777" w:rsidR="0099050A" w:rsidRPr="0099050A" w:rsidRDefault="0099050A" w:rsidP="0099050A">
      <w:pPr>
        <w:autoSpaceDE w:val="0"/>
        <w:autoSpaceDN w:val="0"/>
        <w:adjustRightInd w:val="0"/>
        <w:spacing w:after="0"/>
        <w:rPr>
          <w:rFonts w:ascii="Times New Roman" w:eastAsia="Times New Roman" w:hAnsi="Times New Roman" w:cs="Times New Roman"/>
          <w:b/>
          <w:sz w:val="24"/>
          <w:szCs w:val="24"/>
          <w:lang w:eastAsia="pl-PL"/>
        </w:rPr>
      </w:pPr>
      <w:r w:rsidRPr="0099050A">
        <w:rPr>
          <w:rFonts w:ascii="Times New Roman" w:eastAsia="Times New Roman" w:hAnsi="Times New Roman" w:cs="Times New Roman"/>
          <w:b/>
          <w:sz w:val="24"/>
          <w:szCs w:val="24"/>
          <w:lang w:eastAsia="pl-PL"/>
        </w:rPr>
        <w:t>Podmioty uprawione do uzyskania wsparcia</w:t>
      </w:r>
    </w:p>
    <w:p w14:paraId="5022B118"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2</w:t>
      </w:r>
    </w:p>
    <w:p w14:paraId="5DF0B9A3"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Uprawnionymi do ubiegania się o Pożyczkę Uniwersalną (PU lub pożyczka) są podmioty, które spełniają łącznie następujące kryteria:</w:t>
      </w:r>
    </w:p>
    <w:p w14:paraId="770E8CD6"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posiadają status MŚP w rozumieniu Rozporządzenia Komisji (UE) nr 651/2014 z dnia 17 czerwca 2014 roku uznającego niektóre rodzaje pomocy za zgodne z rynkiem wewnętrznym w zastosowaniu art. 107 i 108 Traktatu,</w:t>
      </w:r>
    </w:p>
    <w:p w14:paraId="043DD9CB"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nie znajdują się w trudnej sytuacji w rozumieniu art. 2 pkt 18 rozporządzenia Komisji (UE) nr 651/2014 z dnia 17 czerwca 2014 r. uznającego niektóre rodzaje pomocy za zgodne z rynkiem wewnętrznym w zastosowaniu art. 107 i 108 Traktatu,</w:t>
      </w:r>
    </w:p>
    <w:p w14:paraId="53D8F186"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 xml:space="preserve">nie pozostają pod zarządem komisarycznym, nie został wobec niego złożony wniosek o ogłoszenie upadłości, nie zostało wszczęte wobec niego postępowanie upadłościowe lub restrukturyzacyjne lub jakiekolwiek inne postępowanie poprzedzające niewypłacalność lub upadłość oraz nie istnieją podstawy do przeprowadzenia likwidacji w rozumieniu przepisów </w:t>
      </w:r>
      <w:r w:rsidRPr="0099050A">
        <w:rPr>
          <w:rFonts w:ascii="Times New Roman" w:eastAsia="Calibri" w:hAnsi="Times New Roman" w:cs="Times New Roman"/>
          <w:sz w:val="24"/>
          <w:szCs w:val="24"/>
        </w:rPr>
        <w:lastRenderedPageBreak/>
        <w:t>Ustawy z dnia 15 września 2000 r. Kodeks spółek handlowych (</w:t>
      </w:r>
      <w:proofErr w:type="spellStart"/>
      <w:r w:rsidRPr="0099050A">
        <w:rPr>
          <w:rFonts w:ascii="Times New Roman" w:eastAsia="Calibri" w:hAnsi="Times New Roman" w:cs="Times New Roman"/>
          <w:sz w:val="24"/>
          <w:szCs w:val="24"/>
        </w:rPr>
        <w:t>t.j</w:t>
      </w:r>
      <w:proofErr w:type="spellEnd"/>
      <w:r w:rsidRPr="0099050A">
        <w:rPr>
          <w:rFonts w:ascii="Times New Roman" w:eastAsia="Calibri" w:hAnsi="Times New Roman" w:cs="Times New Roman"/>
          <w:sz w:val="24"/>
          <w:szCs w:val="24"/>
        </w:rPr>
        <w:t xml:space="preserve">. Dz. U. z 2020 r. poz. 1526 z </w:t>
      </w:r>
      <w:proofErr w:type="spellStart"/>
      <w:r w:rsidRPr="0099050A">
        <w:rPr>
          <w:rFonts w:ascii="Times New Roman" w:eastAsia="Calibri" w:hAnsi="Times New Roman" w:cs="Times New Roman"/>
          <w:sz w:val="24"/>
          <w:szCs w:val="24"/>
        </w:rPr>
        <w:t>późn</w:t>
      </w:r>
      <w:proofErr w:type="spellEnd"/>
      <w:r w:rsidRPr="0099050A">
        <w:rPr>
          <w:rFonts w:ascii="Times New Roman" w:eastAsia="Calibri" w:hAnsi="Times New Roman" w:cs="Times New Roman"/>
          <w:sz w:val="24"/>
          <w:szCs w:val="24"/>
        </w:rPr>
        <w:t xml:space="preserve">. </w:t>
      </w:r>
      <w:proofErr w:type="spellStart"/>
      <w:r w:rsidRPr="0099050A">
        <w:rPr>
          <w:rFonts w:ascii="Times New Roman" w:eastAsia="Calibri" w:hAnsi="Times New Roman" w:cs="Times New Roman"/>
          <w:sz w:val="24"/>
          <w:szCs w:val="24"/>
        </w:rPr>
        <w:t>zm</w:t>
      </w:r>
      <w:proofErr w:type="spellEnd"/>
      <w:r w:rsidRPr="0099050A">
        <w:rPr>
          <w:rFonts w:ascii="Times New Roman" w:eastAsia="Calibri" w:hAnsi="Times New Roman" w:cs="Times New Roman"/>
          <w:sz w:val="24"/>
          <w:szCs w:val="24"/>
        </w:rPr>
        <w:t>) z jakiejkolwiek przyczyny i nie nastąpiło ich rozwiązanie,</w:t>
      </w:r>
    </w:p>
    <w:p w14:paraId="44B68509"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są przedsiębiorcami będącymi osobami fizycznymi, osobami prawnymi, albo jednostkami organizacyjnymi niebędącymi osobami prawnymi, którym właściwa ustawa przyznaje zdolność prawną, posiadającymi siedzibę lub prowadzącymi działalność gospodarczą na terenie województwa zachodniopomorskiego np. w postaci filii, oddziału, zakładu, z zastrzeżeniem, że jeśli nie posiada siedziby głównej na terenie województwa zachodniopomorskiego, wówczas jego jednostka organizacyjna musi funkcjonować na terenie województwa zachodniopomorskiego przez okres minimum 6 miesięcy przed dniem złożenia wniosku o pożyczkę,</w:t>
      </w:r>
    </w:p>
    <w:p w14:paraId="291A7E91"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nie są obciążone obowiązkiem zwrotu pomocy, wynikającym z decyzji Komisji Europejskiej uznającej pomoc za niezgodną z prawem oraz ze wspólnym rynkiem lub orzeczenia sądu krajowego lub unijnego,</w:t>
      </w:r>
    </w:p>
    <w:p w14:paraId="78764169"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nie podlega wykluczeniu z możliwości dostępu do środków publicznych na podstawie przepisów prawa lub wykluczeniu takiemu nie podlegają osoby uprawnione do jego reprezentacji,</w:t>
      </w:r>
    </w:p>
    <w:p w14:paraId="6BB856F2" w14:textId="77777777" w:rsidR="0099050A" w:rsidRPr="0099050A" w:rsidRDefault="0099050A" w:rsidP="00F36D3C">
      <w:pPr>
        <w:keepNext/>
        <w:numPr>
          <w:ilvl w:val="0"/>
          <w:numId w:val="19"/>
        </w:numPr>
        <w:spacing w:after="12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w przypadku przedsiębiorców będących osobami fizycznymi – nie został prawomocnie skazany za przestępstwa przeciwko mieniu, składanie fałszywych zeznań, przekupstwo, przestępstwa przeciwko obrotowi pieniędzmi i papierami wartościowymi, przestępstwa przeciwko obrotowi gospodarczemu i interesom majątkowym w obrocie cywilnoprawnym, przestępstwa skarbowe,</w:t>
      </w:r>
    </w:p>
    <w:p w14:paraId="19EC8138" w14:textId="77777777" w:rsidR="0099050A" w:rsidRPr="0099050A" w:rsidRDefault="0099050A" w:rsidP="00F36D3C">
      <w:pPr>
        <w:keepNext/>
        <w:numPr>
          <w:ilvl w:val="0"/>
          <w:numId w:val="19"/>
        </w:numPr>
        <w:spacing w:after="0"/>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nie są podmiotami, w stosunku do których FRW lub osoby upoważnione do jego reprezentacji posiadają, tak bezpośrednio jak i pośrednio, jakiekolwiek powiązania, w tym o charakterze majątkowym, kapitałowym, osobowym czy też faktycznym, które wpływają lub mogłyby potencjalnie wpływać na prawidłową realizację Umowy Operacyjnej I Stopnia.</w:t>
      </w:r>
    </w:p>
    <w:p w14:paraId="21260C33" w14:textId="77777777" w:rsidR="0099050A" w:rsidRPr="0099050A" w:rsidRDefault="0099050A" w:rsidP="0099050A">
      <w:pPr>
        <w:keepNext/>
        <w:spacing w:after="120"/>
        <w:jc w:val="both"/>
        <w:rPr>
          <w:rFonts w:ascii="Times New Roman" w:eastAsiaTheme="minorEastAsia" w:hAnsi="Times New Roman"/>
          <w:sz w:val="24"/>
          <w:szCs w:val="24"/>
          <w:lang w:eastAsia="pl-PL"/>
        </w:rPr>
      </w:pPr>
    </w:p>
    <w:p w14:paraId="4BAEC59C" w14:textId="77777777" w:rsidR="0099050A" w:rsidRPr="0099050A" w:rsidRDefault="0099050A" w:rsidP="0099050A">
      <w:pPr>
        <w:keepNext/>
        <w:spacing w:before="240" w:after="120"/>
        <w:jc w:val="both"/>
        <w:rPr>
          <w:rFonts w:ascii="Times New Roman" w:eastAsiaTheme="minorEastAsia" w:hAnsi="Times New Roman" w:cs="Times New Roman"/>
          <w:b/>
          <w:sz w:val="24"/>
          <w:szCs w:val="24"/>
          <w:lang w:eastAsia="pl-PL"/>
        </w:rPr>
      </w:pPr>
      <w:r w:rsidRPr="0099050A">
        <w:rPr>
          <w:rFonts w:ascii="Times New Roman" w:eastAsiaTheme="minorEastAsia" w:hAnsi="Times New Roman" w:cs="Times New Roman"/>
          <w:b/>
          <w:sz w:val="24"/>
          <w:szCs w:val="24"/>
          <w:lang w:eastAsia="pl-PL"/>
        </w:rPr>
        <w:t>Parametry Pożyczki</w:t>
      </w:r>
    </w:p>
    <w:p w14:paraId="0ADFDDA6" w14:textId="77777777" w:rsidR="0099050A" w:rsidRPr="0099050A" w:rsidRDefault="0099050A" w:rsidP="0099050A">
      <w:pPr>
        <w:keepNext/>
        <w:spacing w:before="240" w:after="0"/>
        <w:jc w:val="center"/>
        <w:rPr>
          <w:rFonts w:ascii="Times New Roman" w:eastAsiaTheme="minorEastAsia" w:hAnsi="Times New Roman" w:cs="Times New Roman"/>
          <w:b/>
          <w:sz w:val="24"/>
          <w:szCs w:val="24"/>
          <w:lang w:eastAsia="pl-PL"/>
        </w:rPr>
      </w:pPr>
      <w:r w:rsidRPr="0099050A">
        <w:rPr>
          <w:rFonts w:ascii="Times New Roman" w:eastAsiaTheme="minorEastAsia" w:hAnsi="Times New Roman" w:cs="Times New Roman"/>
          <w:b/>
          <w:sz w:val="24"/>
          <w:szCs w:val="24"/>
          <w:lang w:eastAsia="pl-PL"/>
        </w:rPr>
        <w:t>§ 3</w:t>
      </w:r>
    </w:p>
    <w:p w14:paraId="4946D2F7"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Pożyczki udzielane są w PLN.</w:t>
      </w:r>
    </w:p>
    <w:p w14:paraId="3D182745"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Maksymalna kwota PU udzielonej jednemu MŚP uzależniona jest od przeznaczenia finansowania i wynosi odpowiednio:</w:t>
      </w:r>
    </w:p>
    <w:p w14:paraId="62A75E3A" w14:textId="77777777" w:rsidR="0099050A" w:rsidRPr="0099050A" w:rsidRDefault="0099050A" w:rsidP="00F36D3C">
      <w:pPr>
        <w:numPr>
          <w:ilvl w:val="0"/>
          <w:numId w:val="22"/>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do 250 000,00 PLN w przypadku PU udzielanych na cele obrotowe,</w:t>
      </w:r>
    </w:p>
    <w:p w14:paraId="49D6C0F2" w14:textId="77777777" w:rsidR="0099050A" w:rsidRPr="0099050A" w:rsidRDefault="0099050A" w:rsidP="00F36D3C">
      <w:pPr>
        <w:numPr>
          <w:ilvl w:val="0"/>
          <w:numId w:val="22"/>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do 750 000,00 PLN w przypadku PU udzielanych na cele inwestycyjne/ </w:t>
      </w:r>
      <w:proofErr w:type="spellStart"/>
      <w:r w:rsidRPr="0099050A">
        <w:rPr>
          <w:rFonts w:ascii="Times New Roman" w:eastAsia="Times New Roman" w:hAnsi="Times New Roman" w:cs="Times New Roman"/>
          <w:sz w:val="24"/>
          <w:szCs w:val="24"/>
          <w:lang w:eastAsia="pl-PL"/>
        </w:rPr>
        <w:t>inwestycyjno</w:t>
      </w:r>
      <w:proofErr w:type="spellEnd"/>
      <w:r w:rsidRPr="0099050A">
        <w:rPr>
          <w:rFonts w:ascii="Times New Roman" w:eastAsia="Times New Roman" w:hAnsi="Times New Roman" w:cs="Times New Roman"/>
          <w:sz w:val="24"/>
          <w:szCs w:val="24"/>
          <w:lang w:eastAsia="pl-PL"/>
        </w:rPr>
        <w:t xml:space="preserve"> – obrotowe.</w:t>
      </w:r>
    </w:p>
    <w:p w14:paraId="4EB4D0A4"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Jeden Pożyczkobiorca może otrzymać więcej niż jedną PU, z zastrzeżeniem, że łączna wartość wszystkich PU udzielonych temu samemu Pożyczkobiorcy nie może wynieść więcej niż 750 000,00 PLN.</w:t>
      </w:r>
    </w:p>
    <w:p w14:paraId="09B4FD6C"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Wkład własny Pożyczkobiorcy nie jest wymagany.</w:t>
      </w:r>
    </w:p>
    <w:p w14:paraId="7F6AC38A"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lastRenderedPageBreak/>
        <w:t>Maksymalny okres spłaty PU uzależniony jest od kwoty PU oraz jej przeznaczenia i wynosi odpowiednio:</w:t>
      </w:r>
    </w:p>
    <w:p w14:paraId="3DDC84E3" w14:textId="77777777" w:rsidR="0099050A" w:rsidRPr="0099050A" w:rsidRDefault="0099050A" w:rsidP="00F36D3C">
      <w:pPr>
        <w:numPr>
          <w:ilvl w:val="1"/>
          <w:numId w:val="20"/>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do 36 miesięcy w przypadku PU przeznaczonej na cele obrotowe, udzielonej w kwocie do 100 000,00 PLN,</w:t>
      </w:r>
    </w:p>
    <w:p w14:paraId="4FE2C6C4" w14:textId="77777777" w:rsidR="0099050A" w:rsidRPr="0099050A" w:rsidRDefault="0099050A" w:rsidP="00F36D3C">
      <w:pPr>
        <w:numPr>
          <w:ilvl w:val="1"/>
          <w:numId w:val="20"/>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do 60 miesięcy w przypadku PU przeznaczonej na cele obrotowe, udzielonej w kwocie od 100 001,00 PLN 100 000,01 PLN do 250 000,00 PLN,</w:t>
      </w:r>
    </w:p>
    <w:p w14:paraId="49F01FEC" w14:textId="77777777" w:rsidR="0099050A" w:rsidRPr="0099050A" w:rsidRDefault="0099050A" w:rsidP="00F36D3C">
      <w:pPr>
        <w:numPr>
          <w:ilvl w:val="1"/>
          <w:numId w:val="20"/>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do 96 miesięcy w przypadku PU przeznaczonej na cele inwestycyjne/ </w:t>
      </w:r>
      <w:proofErr w:type="spellStart"/>
      <w:r w:rsidRPr="0099050A">
        <w:rPr>
          <w:rFonts w:ascii="Times New Roman" w:eastAsia="Times New Roman" w:hAnsi="Times New Roman" w:cs="Times New Roman"/>
          <w:sz w:val="24"/>
          <w:szCs w:val="24"/>
          <w:lang w:eastAsia="pl-PL"/>
        </w:rPr>
        <w:t>inwestycyjno</w:t>
      </w:r>
      <w:proofErr w:type="spellEnd"/>
      <w:r w:rsidRPr="0099050A">
        <w:rPr>
          <w:rFonts w:ascii="Times New Roman" w:eastAsia="Times New Roman" w:hAnsi="Times New Roman" w:cs="Times New Roman"/>
          <w:sz w:val="24"/>
          <w:szCs w:val="24"/>
          <w:lang w:eastAsia="pl-PL"/>
        </w:rPr>
        <w:t xml:space="preserve"> – obrotowe,</w:t>
      </w:r>
    </w:p>
    <w:p w14:paraId="1C058EF5" w14:textId="77777777" w:rsidR="0099050A" w:rsidRPr="0099050A" w:rsidRDefault="0099050A" w:rsidP="0099050A">
      <w:pPr>
        <w:autoSpaceDE w:val="0"/>
        <w:autoSpaceDN w:val="0"/>
        <w:adjustRightInd w:val="0"/>
        <w:spacing w:after="0"/>
        <w:ind w:left="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od momentu uruchomienia PU (tj. wypłaty pożyczki na wskazany przez Pożyczkobiorcę rachunek bankowy).</w:t>
      </w:r>
    </w:p>
    <w:p w14:paraId="1C4A07E6" w14:textId="77777777" w:rsidR="0099050A" w:rsidRPr="0099050A" w:rsidRDefault="0099050A" w:rsidP="00F36D3C">
      <w:pPr>
        <w:numPr>
          <w:ilvl w:val="0"/>
          <w:numId w:val="1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Na wniosek Pożyczkobiorcy, dopuszcza się możliwość udzielenia karencji w spłacie kapitału od dnia uruchomienia PU, wynoszącej odpowiednio:</w:t>
      </w:r>
    </w:p>
    <w:p w14:paraId="5F1DD38D" w14:textId="77777777" w:rsidR="0099050A" w:rsidRPr="0099050A" w:rsidRDefault="0099050A" w:rsidP="00F36D3C">
      <w:pPr>
        <w:numPr>
          <w:ilvl w:val="0"/>
          <w:numId w:val="21"/>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do 3 miesięcy w przypadku PU przeznaczonych na cele obrotowe,</w:t>
      </w:r>
    </w:p>
    <w:p w14:paraId="1649AFA0" w14:textId="77777777" w:rsidR="0099050A" w:rsidRPr="0099050A" w:rsidRDefault="0099050A" w:rsidP="00F36D3C">
      <w:pPr>
        <w:numPr>
          <w:ilvl w:val="0"/>
          <w:numId w:val="21"/>
        </w:numPr>
        <w:autoSpaceDE w:val="0"/>
        <w:autoSpaceDN w:val="0"/>
        <w:adjustRightInd w:val="0"/>
        <w:spacing w:after="0"/>
        <w:ind w:left="1134"/>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do 6 miesięcy w przypadku PU przeznaczonych na cele inwestycyjne/ </w:t>
      </w:r>
      <w:proofErr w:type="spellStart"/>
      <w:r w:rsidRPr="0099050A">
        <w:rPr>
          <w:rFonts w:ascii="Times New Roman" w:eastAsia="Times New Roman" w:hAnsi="Times New Roman" w:cs="Times New Roman"/>
          <w:sz w:val="24"/>
          <w:szCs w:val="24"/>
          <w:lang w:eastAsia="pl-PL"/>
        </w:rPr>
        <w:t>inwestycyjno</w:t>
      </w:r>
      <w:proofErr w:type="spellEnd"/>
      <w:r w:rsidRPr="0099050A">
        <w:rPr>
          <w:rFonts w:ascii="Times New Roman" w:eastAsia="Times New Roman" w:hAnsi="Times New Roman" w:cs="Times New Roman"/>
          <w:sz w:val="24"/>
          <w:szCs w:val="24"/>
          <w:lang w:eastAsia="pl-PL"/>
        </w:rPr>
        <w:t xml:space="preserve"> – obrotowe,</w:t>
      </w:r>
    </w:p>
    <w:p w14:paraId="23E35A14" w14:textId="77777777" w:rsidR="0099050A" w:rsidRPr="0099050A" w:rsidRDefault="0099050A" w:rsidP="0099050A">
      <w:pPr>
        <w:autoSpaceDE w:val="0"/>
        <w:autoSpaceDN w:val="0"/>
        <w:adjustRightInd w:val="0"/>
        <w:spacing w:after="0"/>
        <w:ind w:left="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przy założeniu, że nie wydłuży ona okresu spłaty ustalonego dla danej PU, o którym mowa w ust. 5 powyżej.</w:t>
      </w:r>
    </w:p>
    <w:p w14:paraId="640379A5" w14:textId="77777777" w:rsidR="0099050A" w:rsidRPr="0099050A" w:rsidRDefault="0099050A" w:rsidP="0099050A">
      <w:pPr>
        <w:keepNext/>
        <w:spacing w:after="120"/>
        <w:jc w:val="both"/>
        <w:rPr>
          <w:rFonts w:ascii="Times New Roman" w:eastAsiaTheme="minorEastAsia" w:hAnsi="Times New Roman"/>
          <w:sz w:val="24"/>
          <w:szCs w:val="24"/>
          <w:lang w:eastAsia="pl-PL"/>
        </w:rPr>
      </w:pPr>
    </w:p>
    <w:p w14:paraId="745E9A9C" w14:textId="77777777" w:rsidR="0099050A" w:rsidRPr="0099050A" w:rsidRDefault="0099050A" w:rsidP="0099050A">
      <w:pPr>
        <w:keepNext/>
        <w:spacing w:before="240" w:after="120"/>
        <w:jc w:val="both"/>
        <w:rPr>
          <w:rFonts w:ascii="Times New Roman" w:eastAsiaTheme="minorEastAsia" w:hAnsi="Times New Roman" w:cs="Times New Roman"/>
          <w:b/>
          <w:sz w:val="24"/>
          <w:szCs w:val="24"/>
          <w:lang w:eastAsia="pl-PL"/>
        </w:rPr>
      </w:pPr>
      <w:r w:rsidRPr="0099050A">
        <w:rPr>
          <w:rFonts w:ascii="Times New Roman" w:eastAsiaTheme="minorEastAsia" w:hAnsi="Times New Roman" w:cs="Times New Roman"/>
          <w:b/>
          <w:sz w:val="24"/>
          <w:szCs w:val="24"/>
          <w:lang w:eastAsia="pl-PL"/>
        </w:rPr>
        <w:t>Przeznaczenie Pożyczki</w:t>
      </w:r>
    </w:p>
    <w:p w14:paraId="6C5E538C" w14:textId="77777777" w:rsidR="0099050A" w:rsidRPr="0099050A" w:rsidRDefault="0099050A" w:rsidP="0099050A">
      <w:pPr>
        <w:keepNext/>
        <w:spacing w:before="240" w:after="0"/>
        <w:jc w:val="center"/>
        <w:rPr>
          <w:rFonts w:ascii="Times New Roman" w:eastAsiaTheme="minorEastAsia" w:hAnsi="Times New Roman" w:cs="Times New Roman"/>
          <w:b/>
          <w:sz w:val="24"/>
          <w:szCs w:val="24"/>
          <w:lang w:eastAsia="pl-PL"/>
        </w:rPr>
      </w:pPr>
      <w:r w:rsidRPr="0099050A">
        <w:rPr>
          <w:rFonts w:ascii="Times New Roman" w:eastAsiaTheme="minorEastAsia" w:hAnsi="Times New Roman" w:cs="Times New Roman"/>
          <w:b/>
          <w:sz w:val="24"/>
          <w:szCs w:val="24"/>
          <w:lang w:eastAsia="pl-PL"/>
        </w:rPr>
        <w:t>§ 4</w:t>
      </w:r>
    </w:p>
    <w:p w14:paraId="79B80BE1" w14:textId="77777777" w:rsidR="0099050A" w:rsidRPr="0099050A" w:rsidRDefault="0099050A" w:rsidP="00F36D3C">
      <w:pPr>
        <w:numPr>
          <w:ilvl w:val="0"/>
          <w:numId w:val="10"/>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Pożyczka może być przeznaczona na:</w:t>
      </w:r>
    </w:p>
    <w:p w14:paraId="24ACB7D7" w14:textId="77777777" w:rsidR="0099050A" w:rsidRPr="0099050A" w:rsidRDefault="0099050A" w:rsidP="00F36D3C">
      <w:pPr>
        <w:numPr>
          <w:ilvl w:val="2"/>
          <w:numId w:val="23"/>
        </w:numPr>
        <w:spacing w:after="0"/>
        <w:ind w:left="1134" w:hanging="425"/>
        <w:contextualSpacing/>
        <w:jc w:val="both"/>
        <w:rPr>
          <w:rFonts w:ascii="Times New Roman" w:eastAsia="Times New Roman" w:hAnsi="Times New Roman" w:cs="Times New Roman"/>
          <w:iCs/>
          <w:sz w:val="24"/>
          <w:szCs w:val="24"/>
        </w:rPr>
      </w:pPr>
      <w:r w:rsidRPr="0099050A">
        <w:rPr>
          <w:rFonts w:ascii="Times New Roman" w:eastAsia="Times New Roman" w:hAnsi="Times New Roman" w:cs="Times New Roman"/>
          <w:iCs/>
          <w:sz w:val="24"/>
          <w:szCs w:val="24"/>
        </w:rPr>
        <w:t>cele obrotowe (bieżące), tj. finansowanie zapotrzebowania MŚP na kapitał obrotowy/ pokrycie bieżących wydatków przedsiębiorstwa wynikających z prowadzonej przez MŚP działalności gospodarczej;</w:t>
      </w:r>
    </w:p>
    <w:p w14:paraId="11158BC0" w14:textId="77777777" w:rsidR="0099050A" w:rsidRPr="0099050A" w:rsidRDefault="0099050A" w:rsidP="0099050A">
      <w:pPr>
        <w:spacing w:after="0"/>
        <w:ind w:left="72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albo</w:t>
      </w:r>
    </w:p>
    <w:p w14:paraId="029EF3A9" w14:textId="77777777" w:rsidR="0099050A" w:rsidRPr="0099050A" w:rsidRDefault="0099050A" w:rsidP="00F36D3C">
      <w:pPr>
        <w:numPr>
          <w:ilvl w:val="2"/>
          <w:numId w:val="23"/>
        </w:numPr>
        <w:spacing w:after="0"/>
        <w:ind w:left="1134" w:hanging="425"/>
        <w:contextualSpacing/>
        <w:jc w:val="both"/>
        <w:rPr>
          <w:rFonts w:ascii="Times New Roman" w:eastAsia="Times New Roman" w:hAnsi="Times New Roman" w:cs="Times New Roman"/>
          <w:iCs/>
          <w:sz w:val="24"/>
          <w:szCs w:val="24"/>
        </w:rPr>
      </w:pPr>
      <w:r w:rsidRPr="0099050A">
        <w:rPr>
          <w:rFonts w:ascii="Times New Roman" w:eastAsia="Times New Roman" w:hAnsi="Times New Roman" w:cs="Times New Roman"/>
          <w:iCs/>
          <w:sz w:val="24"/>
          <w:szCs w:val="24"/>
        </w:rPr>
        <w:t>cele inwestycyjne/</w:t>
      </w:r>
      <w:proofErr w:type="spellStart"/>
      <w:r w:rsidRPr="0099050A">
        <w:rPr>
          <w:rFonts w:ascii="Times New Roman" w:eastAsia="Times New Roman" w:hAnsi="Times New Roman" w:cs="Times New Roman"/>
          <w:iCs/>
          <w:sz w:val="24"/>
          <w:szCs w:val="24"/>
        </w:rPr>
        <w:t>inwestycyjno</w:t>
      </w:r>
      <w:proofErr w:type="spellEnd"/>
      <w:r w:rsidRPr="0099050A">
        <w:rPr>
          <w:rFonts w:ascii="Times New Roman" w:eastAsia="Times New Roman" w:hAnsi="Times New Roman" w:cs="Times New Roman"/>
          <w:iCs/>
          <w:sz w:val="24"/>
          <w:szCs w:val="24"/>
        </w:rPr>
        <w:t xml:space="preserve"> – obrotowe, tj. finansowanie przedsięwzięć o charakterze inwestycyjnym realizowanych na terenie województwa zachodniopomorskiego, ewentualnie zapotrzebowania na kapitał obrotowy, obejmujące m.in.:</w:t>
      </w:r>
    </w:p>
    <w:p w14:paraId="26F642A2"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zakup, budowę lub modernizację obiektów produkcyjnych, usługowych, handlowych lub innych składników majątku trwałego przedsiębiorstwa;</w:t>
      </w:r>
    </w:p>
    <w:p w14:paraId="50670916"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zakup maszyn, urządzeń lub modernizację posiadanego parku maszynowego, w tym także zakup środków transportu bezpośrednio związanych z celem realizowanego przedsięwzięcia,</w:t>
      </w:r>
    </w:p>
    <w:p w14:paraId="1BD45F5F"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wdrażanie nowych rozwiązań technicznych lub technologicznych w tym także zakup niezbędnych licencji, patentów itp.,</w:t>
      </w:r>
    </w:p>
    <w:p w14:paraId="3D5B72D7"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zakup wartości niematerialnych i prawnych,</w:t>
      </w:r>
    </w:p>
    <w:p w14:paraId="785165D6"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tworzenie nowych miejsc pracy,</w:t>
      </w:r>
    </w:p>
    <w:p w14:paraId="65BCCABC" w14:textId="77777777" w:rsidR="0099050A" w:rsidRPr="0099050A" w:rsidRDefault="0099050A" w:rsidP="00F36D3C">
      <w:pPr>
        <w:numPr>
          <w:ilvl w:val="0"/>
          <w:numId w:val="24"/>
        </w:numPr>
        <w:spacing w:after="0"/>
        <w:ind w:left="1560"/>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lastRenderedPageBreak/>
        <w:t>kapitał obrotowy/pokrycie bieżących wydatków przedsiębiorstwa wynikających z prowadzenia działalności gospodarczej (w tym niezwiązanych bezpośrednio z realizowaną inwestycją), w wysokości stanowiącej do 30% wartości udzielonej PU.</w:t>
      </w:r>
    </w:p>
    <w:p w14:paraId="16BA8237" w14:textId="77777777" w:rsidR="0099050A" w:rsidRPr="0099050A" w:rsidRDefault="0099050A" w:rsidP="00F36D3C">
      <w:pPr>
        <w:numPr>
          <w:ilvl w:val="0"/>
          <w:numId w:val="10"/>
        </w:numPr>
        <w:spacing w:after="0"/>
        <w:ind w:left="567" w:hanging="567"/>
        <w:jc w:val="both"/>
        <w:rPr>
          <w:rFonts w:ascii="Times New Roman" w:eastAsiaTheme="minorEastAsia" w:hAnsi="Times New Roman"/>
          <w:sz w:val="24"/>
          <w:szCs w:val="24"/>
          <w:lang w:eastAsia="pl-PL"/>
        </w:rPr>
      </w:pPr>
      <w:r w:rsidRPr="0099050A">
        <w:rPr>
          <w:rFonts w:ascii="Times New Roman" w:eastAsia="Times New Roman" w:hAnsi="Times New Roman" w:cs="Times New Roman"/>
          <w:iCs/>
          <w:sz w:val="24"/>
          <w:szCs w:val="24"/>
          <w:lang w:eastAsia="pl-PL"/>
        </w:rPr>
        <w:t>Z pożyczki finansowane są wydatki w kwotach brutto, tj. z podatkiem VAT, bez względu na to czy MŚP ma prawną możliwość odzyskana naliczonego podatku VAT.</w:t>
      </w:r>
    </w:p>
    <w:p w14:paraId="0C222B63" w14:textId="77777777" w:rsidR="0099050A" w:rsidRPr="0099050A" w:rsidRDefault="0099050A" w:rsidP="0099050A">
      <w:pPr>
        <w:keepNext/>
        <w:spacing w:after="120"/>
        <w:jc w:val="both"/>
        <w:rPr>
          <w:rFonts w:ascii="Times New Roman" w:eastAsiaTheme="minorEastAsia" w:hAnsi="Times New Roman" w:cs="Times New Roman"/>
          <w:b/>
          <w:sz w:val="24"/>
          <w:szCs w:val="24"/>
          <w:lang w:eastAsia="pl-PL"/>
        </w:rPr>
      </w:pPr>
    </w:p>
    <w:p w14:paraId="15E7194F" w14:textId="77777777" w:rsidR="0099050A" w:rsidRPr="0099050A" w:rsidRDefault="0099050A" w:rsidP="0099050A">
      <w:pPr>
        <w:keepNext/>
        <w:spacing w:after="120"/>
        <w:jc w:val="both"/>
        <w:rPr>
          <w:rFonts w:ascii="Times New Roman" w:eastAsiaTheme="minorEastAsia" w:hAnsi="Times New Roman" w:cs="Times New Roman"/>
          <w:b/>
          <w:sz w:val="24"/>
          <w:szCs w:val="24"/>
          <w:lang w:eastAsia="pl-PL"/>
        </w:rPr>
      </w:pPr>
      <w:r w:rsidRPr="0099050A">
        <w:rPr>
          <w:rFonts w:ascii="Times New Roman" w:eastAsiaTheme="minorEastAsia" w:hAnsi="Times New Roman" w:cs="Times New Roman"/>
          <w:b/>
          <w:sz w:val="24"/>
          <w:szCs w:val="24"/>
          <w:lang w:eastAsia="pl-PL"/>
        </w:rPr>
        <w:t>Wykluczenia z finansowania i ograniczenia</w:t>
      </w:r>
    </w:p>
    <w:p w14:paraId="5DC2A2D8"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5</w:t>
      </w:r>
    </w:p>
    <w:p w14:paraId="0EEE2CB0" w14:textId="77777777" w:rsidR="0099050A" w:rsidRPr="0099050A" w:rsidRDefault="0099050A" w:rsidP="0099050A">
      <w:pPr>
        <w:keepNext/>
        <w:spacing w:after="0"/>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Wyłączeniu z finansowania w ramach PU podlegają:</w:t>
      </w:r>
    </w:p>
    <w:p w14:paraId="623504D9"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zapłata kar pieniężnych oraz spłata zobowiązań wynikających z wyroków sądowych,</w:t>
      </w:r>
    </w:p>
    <w:p w14:paraId="2707D96B"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refinansowanie zobowiązań o charakterze pożyczkowym, kredytowym lub leasingowym,</w:t>
      </w:r>
    </w:p>
    <w:p w14:paraId="732C9684"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zakup aktywów finansowych (udziałów, akcji, obligacji itp.),</w:t>
      </w:r>
    </w:p>
    <w:p w14:paraId="10972C15"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finansowanie działalności deweloperskiej oraz zakup nieruchomości w celu ich dalszej odsprzedaży, </w:t>
      </w:r>
    </w:p>
    <w:p w14:paraId="1282EB49"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finansowanie zakupu lokali mieszkalnych, </w:t>
      </w:r>
    </w:p>
    <w:p w14:paraId="43891833"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finansowanie przedsięwzięć w zakresie produkcji rolnej, </w:t>
      </w:r>
    </w:p>
    <w:p w14:paraId="7D723DB5"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prefinansowanie wydatków, na które otrzymano dofinansowanie w formie dotacji lub pomocy zwrotnej, </w:t>
      </w:r>
    </w:p>
    <w:p w14:paraId="22B63926"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refinansowanie wydatków, bez względu na źródło ich pokrycia, </w:t>
      </w:r>
    </w:p>
    <w:p w14:paraId="43BB2BF7"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finansowanie działalności w zakresie wytwarzania, przetwórstwa lub wprowadzania do obrotu przez producenta lub importera: tytoniu i wyrobów tytoniowych, napojów alkoholowych (z wyłączeniem napojów o zawartości alkoholu poniżej 18%, wytwarzanych w Województwie Zachodniopomorskim przez regionalnych producentów), treści pornograficznych, materiałów wybuchowych, broni i amunicji, gier losowych, zakładów wzajemnych, gier na automatach, środków odurzających i substancji psychotropowych, </w:t>
      </w:r>
    </w:p>
    <w:p w14:paraId="7E926F4E" w14:textId="77777777" w:rsidR="0099050A" w:rsidRPr="0099050A" w:rsidRDefault="0099050A" w:rsidP="00F36D3C">
      <w:pPr>
        <w:keepNext/>
        <w:numPr>
          <w:ilvl w:val="0"/>
          <w:numId w:val="11"/>
        </w:numPr>
        <w:spacing w:after="0"/>
        <w:ind w:left="709"/>
        <w:contextualSpacing/>
        <w:jc w:val="both"/>
        <w:rPr>
          <w:rFonts w:ascii="Times New Roman" w:eastAsiaTheme="minorEastAsia" w:hAnsi="Times New Roman"/>
          <w:sz w:val="24"/>
          <w:szCs w:val="24"/>
          <w:lang w:eastAsia="pl-PL"/>
        </w:rPr>
      </w:pPr>
      <w:r w:rsidRPr="0099050A">
        <w:rPr>
          <w:rFonts w:ascii="Times New Roman" w:eastAsiaTheme="minorEastAsia" w:hAnsi="Times New Roman"/>
          <w:sz w:val="24"/>
          <w:szCs w:val="24"/>
          <w:lang w:eastAsia="pl-PL"/>
        </w:rPr>
        <w:t xml:space="preserve">cele niezwiązane z prowadzoną działalnością gospodarczą. </w:t>
      </w:r>
    </w:p>
    <w:p w14:paraId="52C4F59A" w14:textId="77777777" w:rsidR="0099050A" w:rsidRPr="0099050A" w:rsidRDefault="0099050A" w:rsidP="0099050A">
      <w:pPr>
        <w:autoSpaceDE w:val="0"/>
        <w:autoSpaceDN w:val="0"/>
        <w:adjustRightInd w:val="0"/>
        <w:spacing w:after="240"/>
        <w:jc w:val="center"/>
        <w:rPr>
          <w:rFonts w:ascii="Times New Roman" w:eastAsia="Times New Roman" w:hAnsi="Times New Roman" w:cs="Times New Roman"/>
          <w:sz w:val="24"/>
          <w:szCs w:val="24"/>
          <w:highlight w:val="yellow"/>
          <w:lang w:eastAsia="pl-PL"/>
        </w:rPr>
      </w:pPr>
    </w:p>
    <w:p w14:paraId="690EEEEF" w14:textId="77777777" w:rsidR="0099050A" w:rsidRPr="0099050A" w:rsidRDefault="0099050A" w:rsidP="0099050A">
      <w:pPr>
        <w:autoSpaceDE w:val="0"/>
        <w:autoSpaceDN w:val="0"/>
        <w:adjustRightInd w:val="0"/>
        <w:spacing w:after="0"/>
        <w:rPr>
          <w:rFonts w:ascii="Times New Roman" w:eastAsia="Times New Roman" w:hAnsi="Times New Roman" w:cs="Times New Roman"/>
          <w:color w:val="000000"/>
          <w:sz w:val="24"/>
          <w:szCs w:val="24"/>
          <w:lang w:eastAsia="ar-SA"/>
        </w:rPr>
      </w:pPr>
      <w:r w:rsidRPr="0099050A">
        <w:rPr>
          <w:rFonts w:ascii="Times New Roman" w:eastAsia="Times New Roman" w:hAnsi="Times New Roman" w:cs="Times New Roman"/>
          <w:b/>
          <w:bCs/>
          <w:sz w:val="24"/>
          <w:szCs w:val="24"/>
          <w:lang w:eastAsia="pl-PL"/>
        </w:rPr>
        <w:t xml:space="preserve">Zasady odpłatności </w:t>
      </w:r>
    </w:p>
    <w:p w14:paraId="7CF1266E"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6</w:t>
      </w:r>
    </w:p>
    <w:p w14:paraId="4A5C4179" w14:textId="77777777" w:rsidR="0099050A" w:rsidRPr="0099050A" w:rsidRDefault="0099050A" w:rsidP="00F36D3C">
      <w:pPr>
        <w:numPr>
          <w:ilvl w:val="0"/>
          <w:numId w:val="2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Pożyczki udzielane są na warunkach rynkowych, według stopy referencyjnej obliczanej przy zastosowaniu obowiązującej stopy bazowej</w:t>
      </w:r>
      <w:r w:rsidRPr="0099050A">
        <w:rPr>
          <w:rFonts w:ascii="Times New Roman" w:eastAsia="Times New Roman" w:hAnsi="Times New Roman" w:cs="Times New Roman"/>
          <w:iCs/>
          <w:sz w:val="24"/>
          <w:szCs w:val="24"/>
          <w:vertAlign w:val="superscript"/>
          <w:lang w:eastAsia="pl-PL"/>
        </w:rPr>
        <w:footnoteReference w:id="1"/>
      </w:r>
      <w:r w:rsidRPr="0099050A">
        <w:rPr>
          <w:rFonts w:ascii="Times New Roman" w:eastAsia="Times New Roman" w:hAnsi="Times New Roman" w:cs="Times New Roman"/>
          <w:iCs/>
          <w:sz w:val="24"/>
          <w:szCs w:val="24"/>
          <w:lang w:eastAsia="pl-PL"/>
        </w:rPr>
        <w:t xml:space="preserve"> i marży ustalonej w oparciu o Komunikat Komisji Europejskiej w sprawie zmiany metody ustalania stóp referencyjnych i dyskontowych (Dz. Urz. UE C 14 z 19.01.2008 r. lub komunikat zastępujący) oraz po przeprowadzeniu analizy ryzyka niespłacenia zaciągniętego przez Pożyczkobiorcę zobowiązania oraz oceny przedkładanych zabezpieczeń.  </w:t>
      </w:r>
    </w:p>
    <w:p w14:paraId="50488E01" w14:textId="77777777" w:rsidR="0099050A" w:rsidRPr="0099050A" w:rsidRDefault="0099050A" w:rsidP="00F36D3C">
      <w:pPr>
        <w:numPr>
          <w:ilvl w:val="0"/>
          <w:numId w:val="2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iCs/>
          <w:sz w:val="24"/>
          <w:szCs w:val="24"/>
          <w:lang w:eastAsia="pl-PL"/>
        </w:rPr>
        <w:lastRenderedPageBreak/>
        <w:t>Oprocentowanie, o którym mowa w ust. 1 powyżej, ustalane jest w stosunku rocznym według:</w:t>
      </w:r>
    </w:p>
    <w:p w14:paraId="0A7CAE68" w14:textId="77777777" w:rsidR="0099050A" w:rsidRPr="0099050A" w:rsidRDefault="0099050A" w:rsidP="00F36D3C">
      <w:pPr>
        <w:numPr>
          <w:ilvl w:val="2"/>
          <w:numId w:val="26"/>
        </w:numPr>
        <w:autoSpaceDE w:val="0"/>
        <w:autoSpaceDN w:val="0"/>
        <w:adjustRightInd w:val="0"/>
        <w:spacing w:after="0"/>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zmiennej stopy procentowej, przy czym zmiana oprocentowania następuje w razie zmiany stopy bazowej ustalanej przez Komisję Europejską, albo</w:t>
      </w:r>
    </w:p>
    <w:p w14:paraId="6C3B90CA" w14:textId="77777777" w:rsidR="0099050A" w:rsidRPr="0099050A" w:rsidRDefault="0099050A" w:rsidP="00F36D3C">
      <w:pPr>
        <w:numPr>
          <w:ilvl w:val="2"/>
          <w:numId w:val="26"/>
        </w:numPr>
        <w:autoSpaceDE w:val="0"/>
        <w:autoSpaceDN w:val="0"/>
        <w:adjustRightInd w:val="0"/>
        <w:spacing w:after="0"/>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 xml:space="preserve">stałej stopy procentowej obowiązującej przez cały okres spłaty. </w:t>
      </w:r>
    </w:p>
    <w:p w14:paraId="442E7A63" w14:textId="77777777" w:rsidR="0099050A" w:rsidRPr="0099050A" w:rsidRDefault="0099050A" w:rsidP="00F36D3C">
      <w:pPr>
        <w:numPr>
          <w:ilvl w:val="0"/>
          <w:numId w:val="25"/>
        </w:numPr>
        <w:spacing w:after="0"/>
        <w:ind w:left="567" w:hanging="567"/>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 xml:space="preserve">Wyboru rodzaju oprocentowania dla danej PU dokonuje MŚP. </w:t>
      </w:r>
    </w:p>
    <w:p w14:paraId="4619FC1C" w14:textId="77777777" w:rsidR="0099050A" w:rsidRPr="0099050A" w:rsidRDefault="0099050A" w:rsidP="0099050A">
      <w:pPr>
        <w:autoSpaceDE w:val="0"/>
        <w:autoSpaceDN w:val="0"/>
        <w:adjustRightInd w:val="0"/>
        <w:spacing w:after="0"/>
        <w:jc w:val="center"/>
        <w:rPr>
          <w:rFonts w:ascii="Times New Roman" w:eastAsia="Calibri" w:hAnsi="Times New Roman" w:cs="Times New Roman"/>
          <w:sz w:val="24"/>
          <w:szCs w:val="24"/>
        </w:rPr>
      </w:pPr>
    </w:p>
    <w:p w14:paraId="6DE99756"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7</w:t>
      </w:r>
    </w:p>
    <w:p w14:paraId="355F9DED" w14:textId="77777777" w:rsidR="0099050A" w:rsidRPr="0099050A" w:rsidRDefault="0099050A" w:rsidP="00F36D3C">
      <w:pPr>
        <w:numPr>
          <w:ilvl w:val="0"/>
          <w:numId w:val="27"/>
        </w:numPr>
        <w:spacing w:after="0"/>
        <w:ind w:left="567" w:hanging="567"/>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Za udzielenie pożyczki FRW pobiera od Pożyczkobiorcy jednorazową, bezzwrotną prowizję w wysokości określonej w Tabeli opłat i prowizji, zatwierdzonej uchwałą Zarządu FRW.</w:t>
      </w:r>
    </w:p>
    <w:p w14:paraId="303A654A" w14:textId="77777777" w:rsidR="0099050A" w:rsidRPr="0099050A" w:rsidRDefault="0099050A" w:rsidP="00F36D3C">
      <w:pPr>
        <w:numPr>
          <w:ilvl w:val="0"/>
          <w:numId w:val="27"/>
        </w:numPr>
        <w:spacing w:after="0"/>
        <w:ind w:left="567" w:hanging="567"/>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Zapłata prowizji następuje w całości poprzez jej potrącenie z kwoty udzielonej pożyczki dokonane przy uruchomieniu PU (wypłacie podlega kwota pożyczki pomniejszona o prowizję).</w:t>
      </w:r>
    </w:p>
    <w:p w14:paraId="4B4C99B4" w14:textId="77777777" w:rsidR="0099050A" w:rsidRPr="0099050A" w:rsidRDefault="0099050A" w:rsidP="00F36D3C">
      <w:pPr>
        <w:numPr>
          <w:ilvl w:val="0"/>
          <w:numId w:val="27"/>
        </w:numPr>
        <w:spacing w:after="0"/>
        <w:ind w:left="567" w:hanging="567"/>
        <w:jc w:val="both"/>
        <w:rPr>
          <w:rFonts w:ascii="Times New Roman" w:eastAsia="Times New Roman" w:hAnsi="Times New Roman"/>
          <w:iCs/>
          <w:sz w:val="24"/>
          <w:szCs w:val="24"/>
          <w:lang w:eastAsia="pl-PL"/>
        </w:rPr>
      </w:pPr>
      <w:r w:rsidRPr="0099050A">
        <w:rPr>
          <w:rFonts w:ascii="Times New Roman" w:eastAsia="Times New Roman" w:hAnsi="Times New Roman"/>
          <w:iCs/>
          <w:sz w:val="24"/>
          <w:szCs w:val="24"/>
          <w:lang w:eastAsia="pl-PL"/>
        </w:rPr>
        <w:t>FRW nie pobiera od Pożyczkobiorcy opłat za obsługę PU. Powyższe nie dotyczy czynności windykacyjnych określonych w Tabeli opłat i prowizji.</w:t>
      </w:r>
    </w:p>
    <w:p w14:paraId="54B175B7" w14:textId="77777777" w:rsidR="0099050A" w:rsidRPr="0099050A" w:rsidRDefault="0099050A" w:rsidP="0099050A">
      <w:pPr>
        <w:autoSpaceDE w:val="0"/>
        <w:autoSpaceDN w:val="0"/>
        <w:adjustRightInd w:val="0"/>
        <w:spacing w:after="240"/>
        <w:jc w:val="both"/>
        <w:rPr>
          <w:rFonts w:ascii="Times New Roman" w:eastAsia="Times New Roman" w:hAnsi="Times New Roman" w:cs="Times New Roman"/>
          <w:sz w:val="24"/>
          <w:szCs w:val="24"/>
          <w:lang w:eastAsia="pl-PL"/>
        </w:rPr>
      </w:pPr>
    </w:p>
    <w:p w14:paraId="36FDD9D4" w14:textId="77777777" w:rsidR="0099050A" w:rsidRPr="0099050A" w:rsidRDefault="0099050A" w:rsidP="0099050A">
      <w:pPr>
        <w:autoSpaceDE w:val="0"/>
        <w:autoSpaceDN w:val="0"/>
        <w:adjustRightInd w:val="0"/>
        <w:spacing w:after="0"/>
        <w:rPr>
          <w:rFonts w:ascii="Times New Roman" w:eastAsia="Times New Roman" w:hAnsi="Times New Roman" w:cs="Times New Roman"/>
          <w:color w:val="000000"/>
          <w:sz w:val="24"/>
          <w:szCs w:val="24"/>
          <w:lang w:eastAsia="ar-SA"/>
        </w:rPr>
      </w:pPr>
      <w:r w:rsidRPr="0099050A">
        <w:rPr>
          <w:rFonts w:ascii="Times New Roman" w:eastAsia="Times New Roman" w:hAnsi="Times New Roman" w:cs="Times New Roman"/>
          <w:b/>
          <w:bCs/>
          <w:sz w:val="24"/>
          <w:szCs w:val="24"/>
          <w:lang w:eastAsia="pl-PL"/>
        </w:rPr>
        <w:t xml:space="preserve">Zabezpieczenie pożyczek </w:t>
      </w:r>
    </w:p>
    <w:p w14:paraId="439A6684"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8</w:t>
      </w:r>
    </w:p>
    <w:p w14:paraId="155BC141" w14:textId="77777777" w:rsidR="0099050A" w:rsidRPr="0099050A" w:rsidRDefault="0099050A" w:rsidP="00F36D3C">
      <w:pPr>
        <w:numPr>
          <w:ilvl w:val="0"/>
          <w:numId w:val="15"/>
        </w:numPr>
        <w:spacing w:after="0"/>
        <w:ind w:left="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 xml:space="preserve">Na zabezpieczenie spłaty udzielanych z FP PU pożyczek przyjmuje się przewidziane prawem formy: weksel własny in blanco wraz z deklaracją wekslową (obligatoryjnie), poręczenie wekslowe lub cywilne osób trzecich, zastaw rejestrowy wraz z przelewem wierzytelności z umowy ubezpieczenia majątkowego, przewłaszczenie wraz z przelewem wierzytelności z umowy ubezpieczenia majątkowego, hipotekę na nieruchomości wraz z cesją praw z polisy ubezpieczenia w przypadku nieruchomości zabudowanej, poddanie się egzekucji w trybie art. 777 § 1 pkt 4-6 </w:t>
      </w:r>
      <w:proofErr w:type="spellStart"/>
      <w:r w:rsidRPr="0099050A">
        <w:rPr>
          <w:rFonts w:ascii="Times New Roman" w:eastAsia="Times New Roman" w:hAnsi="Times New Roman" w:cs="Times New Roman"/>
          <w:iCs/>
          <w:sz w:val="24"/>
          <w:szCs w:val="24"/>
          <w:lang w:eastAsia="pl-PL"/>
        </w:rPr>
        <w:t>k.p.c</w:t>
      </w:r>
      <w:proofErr w:type="spellEnd"/>
      <w:r w:rsidRPr="0099050A">
        <w:rPr>
          <w:rFonts w:ascii="Times New Roman" w:eastAsia="Times New Roman" w:hAnsi="Times New Roman" w:cs="Times New Roman"/>
          <w:iCs/>
          <w:sz w:val="24"/>
          <w:szCs w:val="24"/>
          <w:lang w:eastAsia="pl-PL"/>
        </w:rPr>
        <w:t xml:space="preserve"> i inne zabezpieczenia (depozyt gwarancyjny lub blokadę pieniężną, blokadę jednostek w funduszach inwestycyjnych, gwarancję bankową, pełnomocnictwo do dysponowania rachunkiem/ rachunkami bankowymi Pożyczkobiorcy).</w:t>
      </w:r>
    </w:p>
    <w:p w14:paraId="7C119248" w14:textId="77777777" w:rsidR="0099050A" w:rsidRPr="0099050A" w:rsidRDefault="0099050A" w:rsidP="00F36D3C">
      <w:pPr>
        <w:numPr>
          <w:ilvl w:val="0"/>
          <w:numId w:val="1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 xml:space="preserve">Ostateczna forma zabezpieczenia uzależniona jest od akceptacji FRW. </w:t>
      </w:r>
    </w:p>
    <w:p w14:paraId="4925D2C9" w14:textId="77777777" w:rsidR="0099050A" w:rsidRPr="0099050A" w:rsidRDefault="0099050A" w:rsidP="00F36D3C">
      <w:pPr>
        <w:numPr>
          <w:ilvl w:val="0"/>
          <w:numId w:val="1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W przypadku, gdy jako zabezpieczenie przyjmowana jest polisa ubezpieczeniowa (wraz z cesją praw z tej polisy), a jej ważność wygaśnie w okresie obowiązywania Umowy Pożyczki, Pożyczkobiorca zobowiązany jest do ponownego zawarcia umowy ubezpieczenia oraz każdorazowego przelania na rzecz FRW praw z umowy ubezpieczenia (polisy), aż do całkowitej spłaty PU wraz z odsetkami.</w:t>
      </w:r>
    </w:p>
    <w:p w14:paraId="4B1441F6" w14:textId="77777777" w:rsidR="0099050A" w:rsidRPr="0099050A" w:rsidRDefault="0099050A" w:rsidP="00F36D3C">
      <w:pPr>
        <w:numPr>
          <w:ilvl w:val="0"/>
          <w:numId w:val="1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W przypadku poręczenia cywilnego lub wekslowego osoby fizycznej pozostającej w związku małżeńskim, w którym ustawowa wspólność małżeńska nie została ograniczona ani wyłączona, wymagane jest poręczenie obojga małżonków.</w:t>
      </w:r>
    </w:p>
    <w:p w14:paraId="63334525" w14:textId="77777777" w:rsidR="0099050A" w:rsidRPr="0099050A" w:rsidRDefault="0099050A" w:rsidP="00F36D3C">
      <w:pPr>
        <w:numPr>
          <w:ilvl w:val="0"/>
          <w:numId w:val="15"/>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Koszt ustanowienia, zmiany i zniesienia zabezpieczenia spłaty PU ponosi Pożyczkobiorca.</w:t>
      </w:r>
    </w:p>
    <w:p w14:paraId="40F080EC" w14:textId="6F70B2A2" w:rsidR="0099050A" w:rsidRDefault="0099050A" w:rsidP="0099050A">
      <w:pPr>
        <w:autoSpaceDE w:val="0"/>
        <w:autoSpaceDN w:val="0"/>
        <w:adjustRightInd w:val="0"/>
        <w:spacing w:after="240"/>
        <w:rPr>
          <w:rFonts w:ascii="Times New Roman" w:eastAsia="Times New Roman" w:hAnsi="Times New Roman" w:cs="Times New Roman"/>
          <w:b/>
          <w:bCs/>
          <w:sz w:val="24"/>
          <w:szCs w:val="24"/>
          <w:lang w:eastAsia="pl-PL"/>
        </w:rPr>
      </w:pPr>
    </w:p>
    <w:p w14:paraId="5181ED62" w14:textId="007C9E40" w:rsidR="0099050A" w:rsidRDefault="0099050A" w:rsidP="0099050A">
      <w:pPr>
        <w:autoSpaceDE w:val="0"/>
        <w:autoSpaceDN w:val="0"/>
        <w:adjustRightInd w:val="0"/>
        <w:spacing w:after="240"/>
        <w:rPr>
          <w:rFonts w:ascii="Times New Roman" w:eastAsia="Times New Roman" w:hAnsi="Times New Roman" w:cs="Times New Roman"/>
          <w:b/>
          <w:bCs/>
          <w:sz w:val="24"/>
          <w:szCs w:val="24"/>
          <w:lang w:eastAsia="pl-PL"/>
        </w:rPr>
      </w:pPr>
    </w:p>
    <w:p w14:paraId="47CFA1F7" w14:textId="77777777" w:rsidR="0099050A" w:rsidRPr="0099050A" w:rsidRDefault="0099050A" w:rsidP="0099050A">
      <w:pPr>
        <w:autoSpaceDE w:val="0"/>
        <w:autoSpaceDN w:val="0"/>
        <w:adjustRightInd w:val="0"/>
        <w:spacing w:after="240"/>
        <w:rPr>
          <w:rFonts w:ascii="Times New Roman" w:eastAsia="Times New Roman" w:hAnsi="Times New Roman" w:cs="Times New Roman"/>
          <w:b/>
          <w:bCs/>
          <w:sz w:val="24"/>
          <w:szCs w:val="24"/>
          <w:lang w:eastAsia="pl-PL"/>
        </w:rPr>
      </w:pPr>
    </w:p>
    <w:p w14:paraId="658EA776"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Postępowanie decyzyjne </w:t>
      </w:r>
    </w:p>
    <w:p w14:paraId="2CBB4FE1"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9</w:t>
      </w:r>
    </w:p>
    <w:p w14:paraId="28F447CD" w14:textId="77777777" w:rsidR="0099050A" w:rsidRPr="0099050A" w:rsidRDefault="0099050A" w:rsidP="00F36D3C">
      <w:pPr>
        <w:numPr>
          <w:ilvl w:val="0"/>
          <w:numId w:val="16"/>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Pożyczek z FP PU udziela się na podstawie wniosku o pożyczkę wraz z wymaganymi załącznikami, po przeprowadzeniu analizy ryzyka niespłacenia zaciągniętego zobowiązania, zgodnie ze stosowaną przez FRW metodologią oceny ryzyka oraz po ustanowieniu należytego zabezpieczenia spłaty zobowiązania. Na etapie oceny wniosku FRW ma prawo do przeprowadzenia wizyty w siedzibie Wnioskodawcy lub miejscu prowadzenia działalności/ realizacji inwestycji.</w:t>
      </w:r>
    </w:p>
    <w:p w14:paraId="3E734DE0" w14:textId="77777777" w:rsidR="0099050A" w:rsidRPr="0099050A" w:rsidRDefault="0099050A" w:rsidP="00F36D3C">
      <w:pPr>
        <w:numPr>
          <w:ilvl w:val="0"/>
          <w:numId w:val="16"/>
        </w:numPr>
        <w:spacing w:after="0"/>
        <w:ind w:left="567" w:hanging="567"/>
        <w:jc w:val="both"/>
        <w:rPr>
          <w:rFonts w:ascii="Times New Roman" w:eastAsia="Times New Roman" w:hAnsi="Times New Roman" w:cs="Times New Roman"/>
          <w:iCs/>
          <w:sz w:val="24"/>
          <w:szCs w:val="24"/>
          <w:lang w:eastAsia="pl-PL"/>
        </w:rPr>
      </w:pPr>
      <w:r w:rsidRPr="0099050A">
        <w:rPr>
          <w:rFonts w:ascii="Times New Roman" w:eastAsia="Times New Roman" w:hAnsi="Times New Roman" w:cs="Times New Roman"/>
          <w:iCs/>
          <w:sz w:val="24"/>
          <w:szCs w:val="24"/>
          <w:lang w:eastAsia="pl-PL"/>
        </w:rPr>
        <w:t xml:space="preserve">Formularze wniosków o przyznanie pożyczki dostępne są w siedzibie FRW, współpracujących z FRW ośrodkach wspierania przedsiębiorczości oraz na stronach internetowych FRW. </w:t>
      </w:r>
    </w:p>
    <w:p w14:paraId="687F7260" w14:textId="77777777" w:rsidR="0099050A" w:rsidRPr="0099050A" w:rsidRDefault="0099050A" w:rsidP="00F36D3C">
      <w:pPr>
        <w:numPr>
          <w:ilvl w:val="0"/>
          <w:numId w:val="16"/>
        </w:numPr>
        <w:spacing w:after="0"/>
        <w:ind w:left="567" w:hanging="567"/>
        <w:jc w:val="both"/>
        <w:rPr>
          <w:rFonts w:ascii="Times New Roman" w:eastAsiaTheme="minorEastAsia" w:hAnsi="Times New Roman"/>
          <w:sz w:val="24"/>
          <w:szCs w:val="24"/>
          <w:lang w:eastAsia="pl-PL"/>
        </w:rPr>
      </w:pPr>
      <w:r w:rsidRPr="0099050A">
        <w:rPr>
          <w:rFonts w:ascii="Times New Roman" w:eastAsia="Times New Roman" w:hAnsi="Times New Roman" w:cs="Times New Roman"/>
          <w:iCs/>
          <w:sz w:val="24"/>
          <w:szCs w:val="24"/>
          <w:lang w:eastAsia="pl-PL"/>
        </w:rPr>
        <w:t>Wnioski o przyznanie pożyczki z FP PU należy składać w siedzibie FRW, we współpracujących z FRW ośrodkach wspierania przedsiębiorczości lub elektronicznie – korzystając z udostępnionego na stronach internetowych</w:t>
      </w:r>
      <w:r w:rsidRPr="0099050A">
        <w:rPr>
          <w:rFonts w:ascii="Times New Roman" w:eastAsiaTheme="minorEastAsia" w:hAnsi="Times New Roman"/>
          <w:sz w:val="24"/>
          <w:lang w:eastAsia="pl-PL"/>
        </w:rPr>
        <w:t xml:space="preserve"> FRW formularza </w:t>
      </w:r>
      <w:r w:rsidRPr="0099050A">
        <w:rPr>
          <w:rFonts w:ascii="Times New Roman" w:eastAsiaTheme="minorEastAsia" w:hAnsi="Times New Roman"/>
          <w:i/>
          <w:sz w:val="24"/>
          <w:lang w:eastAsia="pl-PL"/>
        </w:rPr>
        <w:t>on-line</w:t>
      </w:r>
      <w:r w:rsidRPr="0099050A">
        <w:rPr>
          <w:rFonts w:ascii="Times New Roman" w:eastAsiaTheme="minorEastAsia" w:hAnsi="Times New Roman"/>
          <w:sz w:val="24"/>
          <w:lang w:eastAsia="pl-PL"/>
        </w:rPr>
        <w:t>.</w:t>
      </w:r>
      <w:r w:rsidRPr="0099050A">
        <w:rPr>
          <w:rFonts w:ascii="Times New Roman" w:eastAsiaTheme="minorEastAsia" w:hAnsi="Times New Roman"/>
          <w:sz w:val="24"/>
          <w:szCs w:val="24"/>
          <w:lang w:eastAsia="pl-PL"/>
        </w:rPr>
        <w:t xml:space="preserve"> </w:t>
      </w:r>
    </w:p>
    <w:p w14:paraId="7C53AB35"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p>
    <w:p w14:paraId="30DC0465"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10</w:t>
      </w:r>
    </w:p>
    <w:p w14:paraId="03A15F27" w14:textId="77777777" w:rsidR="0099050A" w:rsidRPr="0099050A" w:rsidRDefault="0099050A" w:rsidP="00F36D3C">
      <w:pPr>
        <w:numPr>
          <w:ilvl w:val="0"/>
          <w:numId w:val="5"/>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Warunkiem przyjęcia wniosku do oceny przez FRW jest prawidłowo wypełniony formularz wniosku wraz ze wszystkimi niezbędnymi załącznikami wyszczególnionymi na ostatniej stronie wniosku. </w:t>
      </w:r>
    </w:p>
    <w:p w14:paraId="60CC0114" w14:textId="77777777" w:rsidR="0099050A" w:rsidRPr="0099050A" w:rsidRDefault="0099050A" w:rsidP="00F36D3C">
      <w:pPr>
        <w:numPr>
          <w:ilvl w:val="0"/>
          <w:numId w:val="5"/>
        </w:numPr>
        <w:autoSpaceDE w:val="0"/>
        <w:autoSpaceDN w:val="0"/>
        <w:adjustRightInd w:val="0"/>
        <w:spacing w:after="0"/>
        <w:ind w:left="567" w:hanging="567"/>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Wniosek o pożyczkę powinien zawierać co najmniej następujące informacje: </w:t>
      </w:r>
    </w:p>
    <w:p w14:paraId="0D525906" w14:textId="77777777" w:rsidR="0099050A" w:rsidRPr="0099050A" w:rsidRDefault="0099050A" w:rsidP="00F36D3C">
      <w:pPr>
        <w:numPr>
          <w:ilvl w:val="1"/>
          <w:numId w:val="8"/>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wypełniony formularz wniosku wraz z załącznikami,</w:t>
      </w:r>
    </w:p>
    <w:p w14:paraId="2B2DFF37" w14:textId="77777777" w:rsidR="0099050A" w:rsidRPr="0099050A" w:rsidRDefault="0099050A" w:rsidP="00F36D3C">
      <w:pPr>
        <w:numPr>
          <w:ilvl w:val="1"/>
          <w:numId w:val="8"/>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dokumenty określające sytuację gospodarczą i finansową Wnioskodawcy,</w:t>
      </w:r>
    </w:p>
    <w:p w14:paraId="1EA4B820" w14:textId="77777777" w:rsidR="0099050A" w:rsidRPr="0099050A" w:rsidRDefault="0099050A" w:rsidP="00F36D3C">
      <w:pPr>
        <w:numPr>
          <w:ilvl w:val="1"/>
          <w:numId w:val="8"/>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propozycje dwóch form prawnego zabezpieczenia pożyczki wraz z odsetkami</w:t>
      </w:r>
      <w:r w:rsidRPr="0099050A">
        <w:rPr>
          <w:rFonts w:ascii="Times New Roman" w:eastAsia="Times New Roman" w:hAnsi="Times New Roman" w:cs="Times New Roman"/>
          <w:bCs/>
          <w:sz w:val="24"/>
          <w:szCs w:val="24"/>
          <w:lang w:eastAsia="pl-PL"/>
        </w:rPr>
        <w:t xml:space="preserve">. </w:t>
      </w:r>
    </w:p>
    <w:p w14:paraId="3038609E" w14:textId="77777777" w:rsidR="0099050A" w:rsidRPr="0099050A" w:rsidRDefault="0099050A" w:rsidP="00F36D3C">
      <w:pPr>
        <w:numPr>
          <w:ilvl w:val="0"/>
          <w:numId w:val="5"/>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Wszystkie informacje podane we wniosku powinny być uwiarygodnione odpowiednimi dokumentami. W szczególności dotyczy to: </w:t>
      </w:r>
    </w:p>
    <w:p w14:paraId="7DDF61B0" w14:textId="77777777" w:rsidR="0099050A" w:rsidRPr="0099050A" w:rsidRDefault="0099050A" w:rsidP="00F36D3C">
      <w:pPr>
        <w:numPr>
          <w:ilvl w:val="1"/>
          <w:numId w:val="5"/>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zakresu rzeczowego inwestycji, </w:t>
      </w:r>
    </w:p>
    <w:p w14:paraId="7DB3AA66" w14:textId="77777777" w:rsidR="0099050A" w:rsidRPr="0099050A" w:rsidRDefault="0099050A" w:rsidP="00F36D3C">
      <w:pPr>
        <w:numPr>
          <w:ilvl w:val="1"/>
          <w:numId w:val="5"/>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wydatków inwestycyjnych i źródeł finansowania inwestycji, </w:t>
      </w:r>
    </w:p>
    <w:p w14:paraId="709D08DB" w14:textId="77777777" w:rsidR="0099050A" w:rsidRPr="0099050A" w:rsidRDefault="0099050A" w:rsidP="00F36D3C">
      <w:pPr>
        <w:numPr>
          <w:ilvl w:val="1"/>
          <w:numId w:val="5"/>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pozwolenia, licencje i koncesje wymagane przepisami prawa, </w:t>
      </w:r>
    </w:p>
    <w:p w14:paraId="5369B8DC" w14:textId="77777777" w:rsidR="0099050A" w:rsidRPr="0099050A" w:rsidRDefault="0099050A" w:rsidP="00F36D3C">
      <w:pPr>
        <w:numPr>
          <w:ilvl w:val="1"/>
          <w:numId w:val="5"/>
        </w:numPr>
        <w:tabs>
          <w:tab w:val="left"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zaciągniętych zobowiązań kredytowych i pożyczkowych oraz ich obsługi,</w:t>
      </w:r>
    </w:p>
    <w:p w14:paraId="19E5C124" w14:textId="77777777" w:rsidR="0099050A" w:rsidRPr="0099050A" w:rsidRDefault="0099050A" w:rsidP="0099050A">
      <w:pPr>
        <w:tabs>
          <w:tab w:val="left" w:pos="1276"/>
        </w:tabs>
        <w:autoSpaceDE w:val="0"/>
        <w:autoSpaceDN w:val="0"/>
        <w:adjustRightInd w:val="0"/>
        <w:spacing w:after="0"/>
        <w:ind w:left="1276"/>
        <w:jc w:val="both"/>
        <w:rPr>
          <w:rFonts w:ascii="Times New Roman" w:eastAsia="Times New Roman" w:hAnsi="Times New Roman" w:cs="Times New Roman"/>
          <w:sz w:val="24"/>
          <w:szCs w:val="24"/>
          <w:lang w:eastAsia="pl-PL"/>
        </w:rPr>
      </w:pPr>
    </w:p>
    <w:p w14:paraId="1E2F472A"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11</w:t>
      </w:r>
    </w:p>
    <w:p w14:paraId="16C9DBDE" w14:textId="03855AB9" w:rsidR="0099050A" w:rsidRDefault="0099050A" w:rsidP="0099050A">
      <w:pPr>
        <w:spacing w:after="0"/>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szCs w:val="24"/>
          <w:lang w:eastAsia="pl-PL"/>
        </w:rPr>
        <w:t xml:space="preserve">FRW zastrzega sobie możliwość zasięgania opinii o wnioskującym podmiocie w wywiadowniach gospodarczych i jednostkach z nim współpracujących. </w:t>
      </w:r>
      <w:r w:rsidRPr="0099050A">
        <w:rPr>
          <w:rFonts w:ascii="Times New Roman" w:eastAsiaTheme="minorEastAsia" w:hAnsi="Times New Roman" w:cs="Times New Roman"/>
          <w:sz w:val="24"/>
          <w:lang w:eastAsia="pl-PL"/>
        </w:rPr>
        <w:t>Wnioskodawca</w:t>
      </w:r>
      <w:r w:rsidRPr="0099050A">
        <w:rPr>
          <w:rFonts w:ascii="Times New Roman" w:eastAsiaTheme="minorEastAsia" w:hAnsi="Times New Roman" w:cs="Times New Roman"/>
          <w:sz w:val="24"/>
          <w:szCs w:val="24"/>
          <w:lang w:eastAsia="pl-PL"/>
        </w:rPr>
        <w:t xml:space="preserve"> składający wniosek o pożyczkę wyraża zgodę na kontrolę prowadzonych ksiąg handlowych oraz wszystkich innych dokumentów, pozostających w związku z prowadzoną działalnością, na którą udzielono pożyczkę. Dokumenty i informacje udostępniane będą na każde żądanie FRW.</w:t>
      </w:r>
    </w:p>
    <w:p w14:paraId="2DF62FEB" w14:textId="58991380" w:rsidR="0099050A" w:rsidRDefault="0099050A" w:rsidP="0099050A">
      <w:pPr>
        <w:spacing w:after="0"/>
        <w:jc w:val="both"/>
        <w:rPr>
          <w:rFonts w:ascii="Times New Roman" w:eastAsiaTheme="minorEastAsia" w:hAnsi="Times New Roman" w:cs="Times New Roman"/>
          <w:sz w:val="24"/>
          <w:szCs w:val="24"/>
          <w:lang w:eastAsia="pl-PL"/>
        </w:rPr>
      </w:pPr>
    </w:p>
    <w:p w14:paraId="038DFA22" w14:textId="77777777" w:rsidR="0099050A" w:rsidRPr="0099050A" w:rsidRDefault="0099050A" w:rsidP="0099050A">
      <w:pPr>
        <w:spacing w:after="0"/>
        <w:jc w:val="both"/>
        <w:rPr>
          <w:rFonts w:ascii="Times New Roman" w:eastAsiaTheme="minorEastAsia" w:hAnsi="Times New Roman" w:cs="Times New Roman"/>
          <w:sz w:val="24"/>
          <w:szCs w:val="24"/>
          <w:lang w:eastAsia="pl-PL"/>
        </w:rPr>
      </w:pPr>
    </w:p>
    <w:p w14:paraId="5904A3AC" w14:textId="77777777" w:rsidR="0099050A" w:rsidRPr="0099050A" w:rsidRDefault="0099050A" w:rsidP="0099050A">
      <w:pPr>
        <w:spacing w:after="0"/>
        <w:jc w:val="both"/>
        <w:rPr>
          <w:rFonts w:ascii="Times New Roman" w:eastAsiaTheme="minorEastAsia" w:hAnsi="Times New Roman" w:cs="Times New Roman"/>
          <w:sz w:val="24"/>
          <w:szCs w:val="24"/>
          <w:lang w:eastAsia="pl-PL"/>
        </w:rPr>
      </w:pPr>
    </w:p>
    <w:p w14:paraId="2207D707"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color w:val="FF0000"/>
          <w:sz w:val="24"/>
          <w:szCs w:val="24"/>
          <w:lang w:eastAsia="pl-PL"/>
        </w:rPr>
      </w:pPr>
      <w:r w:rsidRPr="0099050A">
        <w:rPr>
          <w:rFonts w:ascii="Times New Roman" w:eastAsia="Times New Roman" w:hAnsi="Times New Roman" w:cs="Times New Roman"/>
          <w:b/>
          <w:bCs/>
          <w:sz w:val="24"/>
          <w:szCs w:val="24"/>
          <w:lang w:eastAsia="pl-PL"/>
        </w:rPr>
        <w:t>§ 12</w:t>
      </w:r>
    </w:p>
    <w:p w14:paraId="21D0DD58"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color w:val="FF0000"/>
          <w:sz w:val="24"/>
          <w:szCs w:val="24"/>
          <w:lang w:eastAsia="pl-PL"/>
        </w:rPr>
      </w:pPr>
      <w:r w:rsidRPr="0099050A">
        <w:rPr>
          <w:rFonts w:ascii="Times New Roman" w:eastAsia="Times New Roman" w:hAnsi="Times New Roman" w:cs="Times New Roman"/>
          <w:sz w:val="24"/>
          <w:szCs w:val="24"/>
          <w:lang w:eastAsia="pl-PL"/>
        </w:rPr>
        <w:t xml:space="preserve">Oceniony wniosek jest rozpatrywany przez Komisję Pożyczkową powoływaną przez Zarząd FRW. Stanowisko Komisji Pożyczkowej w sprawie złożonego wniosku, zawarte w Przewodniku usługi finansowej, zostaje przedłożone Zarządowi FRW. </w:t>
      </w:r>
    </w:p>
    <w:p w14:paraId="64C83C7A" w14:textId="77777777" w:rsidR="0099050A" w:rsidRPr="0099050A" w:rsidRDefault="0099050A" w:rsidP="0099050A">
      <w:pPr>
        <w:autoSpaceDE w:val="0"/>
        <w:autoSpaceDN w:val="0"/>
        <w:adjustRightInd w:val="0"/>
        <w:spacing w:after="0"/>
        <w:rPr>
          <w:rFonts w:ascii="Times New Roman" w:eastAsia="Times New Roman" w:hAnsi="Times New Roman" w:cs="Times New Roman"/>
          <w:color w:val="FF0000"/>
          <w:sz w:val="24"/>
          <w:szCs w:val="24"/>
          <w:lang w:eastAsia="pl-PL"/>
        </w:rPr>
      </w:pPr>
    </w:p>
    <w:p w14:paraId="70C50768"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13</w:t>
      </w:r>
    </w:p>
    <w:p w14:paraId="51BA20FC" w14:textId="77777777" w:rsidR="0099050A" w:rsidRPr="0099050A" w:rsidRDefault="0099050A" w:rsidP="00F36D3C">
      <w:pPr>
        <w:numPr>
          <w:ilvl w:val="0"/>
          <w:numId w:val="4"/>
        </w:numPr>
        <w:autoSpaceDE w:val="0"/>
        <w:autoSpaceDN w:val="0"/>
        <w:spacing w:after="0"/>
        <w:ind w:left="567" w:hanging="567"/>
        <w:jc w:val="both"/>
        <w:rPr>
          <w:rFonts w:ascii="Times New Roman" w:eastAsiaTheme="minorEastAsia" w:hAnsi="Times New Roman" w:cs="Times New Roman"/>
          <w:bCs/>
          <w:sz w:val="24"/>
          <w:szCs w:val="24"/>
          <w:lang w:eastAsia="pl-PL"/>
        </w:rPr>
      </w:pPr>
      <w:r w:rsidRPr="0099050A">
        <w:rPr>
          <w:rFonts w:ascii="Times New Roman" w:eastAsiaTheme="minorEastAsia" w:hAnsi="Times New Roman" w:cs="Times New Roman"/>
          <w:sz w:val="24"/>
          <w:szCs w:val="24"/>
          <w:lang w:eastAsia="pl-PL"/>
        </w:rPr>
        <w:t>Zarząd FRW w terminie do 30 dni od złożenia kompletu dokumentów podejmie decyzję o udzieleniu bądź o nieudzieleniu pożyczki.</w:t>
      </w:r>
    </w:p>
    <w:p w14:paraId="6C90354B" w14:textId="77777777" w:rsidR="0099050A" w:rsidRPr="0099050A" w:rsidRDefault="0099050A" w:rsidP="00F36D3C">
      <w:pPr>
        <w:numPr>
          <w:ilvl w:val="0"/>
          <w:numId w:val="4"/>
        </w:numPr>
        <w:autoSpaceDE w:val="0"/>
        <w:autoSpaceDN w:val="0"/>
        <w:spacing w:after="0"/>
        <w:ind w:left="567" w:hanging="567"/>
        <w:jc w:val="both"/>
        <w:rPr>
          <w:rFonts w:ascii="Times New Roman" w:eastAsiaTheme="minorEastAsia" w:hAnsi="Times New Roman" w:cs="Times New Roman"/>
          <w:bCs/>
          <w:sz w:val="24"/>
          <w:szCs w:val="24"/>
          <w:lang w:eastAsia="pl-PL"/>
        </w:rPr>
      </w:pPr>
      <w:r w:rsidRPr="0099050A">
        <w:rPr>
          <w:rFonts w:ascii="Times New Roman" w:eastAsiaTheme="minorEastAsia" w:hAnsi="Times New Roman" w:cs="Times New Roman"/>
          <w:sz w:val="24"/>
          <w:szCs w:val="24"/>
          <w:lang w:eastAsia="pl-PL"/>
        </w:rPr>
        <w:t xml:space="preserve">W sytuacji, gdy wniosek zawiera braki uniemożliwiające jego rozpatrzenie i wydanie decyzji, FRW wzywa </w:t>
      </w:r>
      <w:r w:rsidRPr="0099050A">
        <w:rPr>
          <w:rFonts w:ascii="Times New Roman" w:eastAsiaTheme="minorEastAsia" w:hAnsi="Times New Roman" w:cs="Times New Roman"/>
          <w:sz w:val="24"/>
          <w:lang w:eastAsia="pl-PL"/>
        </w:rPr>
        <w:t>Wnioskodawcę</w:t>
      </w:r>
      <w:r w:rsidRPr="0099050A">
        <w:rPr>
          <w:rFonts w:ascii="Times New Roman" w:eastAsiaTheme="minorEastAsia" w:hAnsi="Times New Roman" w:cs="Times New Roman"/>
          <w:sz w:val="24"/>
          <w:szCs w:val="24"/>
          <w:lang w:eastAsia="pl-PL"/>
        </w:rPr>
        <w:t xml:space="preserve"> do ich usunięcia w wyznaczonym terminie, a datą, od której biegnie termin ustalony dla rozpatrzenia wniosku jest data usunięcia przez podmiot braków. Brak uzupełnienia skutkuje pozostawieniem wniosku bez rozpoznania.</w:t>
      </w:r>
    </w:p>
    <w:p w14:paraId="73595E9A" w14:textId="77777777" w:rsidR="0099050A" w:rsidRPr="0099050A" w:rsidRDefault="0099050A" w:rsidP="0099050A">
      <w:pPr>
        <w:autoSpaceDE w:val="0"/>
        <w:autoSpaceDN w:val="0"/>
        <w:spacing w:after="0"/>
        <w:ind w:left="567"/>
        <w:jc w:val="both"/>
        <w:rPr>
          <w:rFonts w:ascii="Times New Roman" w:eastAsiaTheme="minorEastAsia" w:hAnsi="Times New Roman" w:cs="Times New Roman"/>
          <w:bCs/>
          <w:sz w:val="24"/>
          <w:szCs w:val="24"/>
          <w:lang w:eastAsia="pl-PL"/>
        </w:rPr>
      </w:pPr>
    </w:p>
    <w:p w14:paraId="468F2A90" w14:textId="77777777" w:rsidR="0099050A" w:rsidRPr="0099050A" w:rsidRDefault="0099050A" w:rsidP="0099050A">
      <w:pPr>
        <w:keepNext/>
        <w:autoSpaceDE w:val="0"/>
        <w:autoSpaceDN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14</w:t>
      </w:r>
    </w:p>
    <w:p w14:paraId="7D60B073" w14:textId="77777777" w:rsidR="0099050A" w:rsidRPr="0099050A" w:rsidRDefault="0099050A" w:rsidP="00F36D3C">
      <w:pPr>
        <w:numPr>
          <w:ilvl w:val="0"/>
          <w:numId w:val="1"/>
        </w:numPr>
        <w:autoSpaceDE w:val="0"/>
        <w:autoSpaceDN w:val="0"/>
        <w:spacing w:after="0"/>
        <w:ind w:left="567" w:hanging="567"/>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lang w:eastAsia="pl-PL"/>
        </w:rPr>
        <w:t>Wnioskodawca</w:t>
      </w:r>
      <w:r w:rsidRPr="0099050A">
        <w:rPr>
          <w:rFonts w:ascii="Times New Roman" w:eastAsiaTheme="minorEastAsia" w:hAnsi="Times New Roman" w:cs="Times New Roman"/>
          <w:sz w:val="24"/>
          <w:szCs w:val="24"/>
          <w:lang w:eastAsia="pl-PL"/>
        </w:rPr>
        <w:t xml:space="preserve"> zostaje niezwłocznie powiadomiony o podjętej uchwale w przedmiocie udzielenia i sposobu zabezpieczenia pożyczki oraz obowiązującym trybie odwoławczym w przypadku decyzji negatywnej. </w:t>
      </w:r>
    </w:p>
    <w:p w14:paraId="015E1954" w14:textId="77777777" w:rsidR="0099050A" w:rsidRPr="0099050A" w:rsidRDefault="0099050A" w:rsidP="00F36D3C">
      <w:pPr>
        <w:numPr>
          <w:ilvl w:val="0"/>
          <w:numId w:val="1"/>
        </w:numPr>
        <w:autoSpaceDE w:val="0"/>
        <w:autoSpaceDN w:val="0"/>
        <w:spacing w:after="0"/>
        <w:ind w:left="567" w:hanging="567"/>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szCs w:val="24"/>
          <w:lang w:eastAsia="pl-PL"/>
        </w:rPr>
        <w:t xml:space="preserve">Od podjętej przez Zarząd FRW decyzji, </w:t>
      </w:r>
      <w:r w:rsidRPr="0099050A">
        <w:rPr>
          <w:rFonts w:ascii="Times New Roman" w:eastAsiaTheme="minorEastAsia" w:hAnsi="Times New Roman" w:cs="Times New Roman"/>
          <w:sz w:val="24"/>
          <w:lang w:eastAsia="pl-PL"/>
        </w:rPr>
        <w:t>Wnioskodawca</w:t>
      </w:r>
      <w:r w:rsidRPr="0099050A">
        <w:rPr>
          <w:rFonts w:ascii="Times New Roman" w:eastAsiaTheme="minorEastAsia" w:hAnsi="Times New Roman" w:cs="Times New Roman"/>
          <w:sz w:val="24"/>
          <w:szCs w:val="24"/>
          <w:lang w:eastAsia="pl-PL"/>
        </w:rPr>
        <w:t xml:space="preserve"> ma prawo odwołania do Komitetu Regionalnego FRW w terminie 14 dni od daty otrzymania informacji o decyzji Zarządu FRW.</w:t>
      </w:r>
    </w:p>
    <w:p w14:paraId="11FE4E36" w14:textId="77777777" w:rsidR="0099050A" w:rsidRPr="0099050A" w:rsidRDefault="0099050A" w:rsidP="00F36D3C">
      <w:pPr>
        <w:numPr>
          <w:ilvl w:val="0"/>
          <w:numId w:val="1"/>
        </w:numPr>
        <w:autoSpaceDE w:val="0"/>
        <w:autoSpaceDN w:val="0"/>
        <w:spacing w:after="0"/>
        <w:ind w:left="567" w:hanging="567"/>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szCs w:val="24"/>
          <w:lang w:eastAsia="pl-PL"/>
        </w:rPr>
        <w:t xml:space="preserve">Uchwały Komitetu Regionalnego FRW są ostateczne. </w:t>
      </w:r>
    </w:p>
    <w:p w14:paraId="640B24EA" w14:textId="77777777" w:rsidR="0099050A" w:rsidRPr="0099050A" w:rsidRDefault="0099050A" w:rsidP="00F36D3C">
      <w:pPr>
        <w:numPr>
          <w:ilvl w:val="0"/>
          <w:numId w:val="1"/>
        </w:numPr>
        <w:autoSpaceDE w:val="0"/>
        <w:autoSpaceDN w:val="0"/>
        <w:spacing w:after="0"/>
        <w:ind w:left="567" w:hanging="567"/>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szCs w:val="24"/>
          <w:lang w:eastAsia="pl-PL"/>
        </w:rPr>
        <w:t xml:space="preserve">W razie podjęcia decyzji negatywnej wniosek o pożyczkę wraz z załącznikami pozostaje w FRW. Oryginały załączników do wniosku, po pozostawieniu w FRW kserokopii, mogą być zwracane wyłącznie na pisemne żądanie </w:t>
      </w:r>
      <w:r w:rsidRPr="0099050A">
        <w:rPr>
          <w:rFonts w:ascii="Times New Roman" w:eastAsiaTheme="minorEastAsia" w:hAnsi="Times New Roman" w:cs="Times New Roman"/>
          <w:sz w:val="24"/>
          <w:lang w:eastAsia="pl-PL"/>
        </w:rPr>
        <w:t>Wnioskodawcy</w:t>
      </w:r>
      <w:r w:rsidRPr="0099050A">
        <w:rPr>
          <w:rFonts w:ascii="Times New Roman" w:eastAsiaTheme="minorEastAsia" w:hAnsi="Times New Roman" w:cs="Times New Roman"/>
          <w:sz w:val="24"/>
          <w:szCs w:val="24"/>
          <w:lang w:eastAsia="pl-PL"/>
        </w:rPr>
        <w:t xml:space="preserve">. </w:t>
      </w:r>
    </w:p>
    <w:p w14:paraId="1A940C4D" w14:textId="77777777" w:rsidR="0099050A" w:rsidRPr="0099050A" w:rsidRDefault="0099050A" w:rsidP="0099050A">
      <w:pPr>
        <w:keepNext/>
        <w:autoSpaceDE w:val="0"/>
        <w:autoSpaceDN w:val="0"/>
        <w:spacing w:after="0"/>
        <w:jc w:val="center"/>
        <w:rPr>
          <w:rFonts w:ascii="Times New Roman" w:eastAsia="Times New Roman" w:hAnsi="Times New Roman" w:cs="Times New Roman"/>
          <w:b/>
          <w:bCs/>
          <w:sz w:val="24"/>
          <w:szCs w:val="24"/>
          <w:lang w:eastAsia="pl-PL"/>
        </w:rPr>
      </w:pPr>
    </w:p>
    <w:p w14:paraId="3CA89554" w14:textId="77777777" w:rsidR="0099050A" w:rsidRPr="0099050A" w:rsidRDefault="0099050A" w:rsidP="0099050A">
      <w:pPr>
        <w:keepNext/>
        <w:autoSpaceDE w:val="0"/>
        <w:autoSpaceDN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15</w:t>
      </w:r>
    </w:p>
    <w:p w14:paraId="2A758990" w14:textId="77777777" w:rsidR="0099050A" w:rsidRPr="0099050A" w:rsidRDefault="0099050A" w:rsidP="0099050A">
      <w:pPr>
        <w:spacing w:after="0"/>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lang w:eastAsia="pl-PL"/>
        </w:rPr>
        <w:t>Wnioskodawcy</w:t>
      </w:r>
      <w:r w:rsidRPr="0099050A">
        <w:rPr>
          <w:rFonts w:ascii="Times New Roman" w:eastAsiaTheme="minorEastAsia" w:hAnsi="Times New Roman" w:cs="Times New Roman"/>
          <w:sz w:val="24"/>
          <w:szCs w:val="24"/>
          <w:lang w:eastAsia="pl-PL"/>
        </w:rPr>
        <w:t xml:space="preserve">, którzy złożyli wniosek z wykorzystaniem formularza </w:t>
      </w:r>
      <w:r w:rsidRPr="0099050A">
        <w:rPr>
          <w:rFonts w:ascii="Times New Roman" w:eastAsiaTheme="minorEastAsia" w:hAnsi="Times New Roman" w:cs="Times New Roman"/>
          <w:i/>
          <w:sz w:val="24"/>
          <w:szCs w:val="24"/>
          <w:lang w:eastAsia="pl-PL"/>
        </w:rPr>
        <w:t xml:space="preserve">on-line, </w:t>
      </w:r>
      <w:r w:rsidRPr="0099050A">
        <w:rPr>
          <w:rFonts w:ascii="Times New Roman" w:eastAsiaTheme="minorEastAsia" w:hAnsi="Times New Roman" w:cs="Times New Roman"/>
          <w:sz w:val="24"/>
          <w:szCs w:val="24"/>
          <w:lang w:eastAsia="pl-PL"/>
        </w:rPr>
        <w:t>zobowiązani są przedłożyć w FRW oryginały dokumentów stanowiących załączniki do wniosku, niezwłocznie po uzyskaniu pozytywnej decyzji w przedmiocie udzielenia pożyczki, z zastrzeżeniem skutków, o których mowa w § 16 ust. 3.</w:t>
      </w:r>
    </w:p>
    <w:p w14:paraId="7A2B2F2D" w14:textId="77777777" w:rsidR="0099050A" w:rsidRPr="0099050A" w:rsidRDefault="0099050A" w:rsidP="0099050A">
      <w:pPr>
        <w:jc w:val="both"/>
        <w:rPr>
          <w:rFonts w:ascii="Times New Roman" w:eastAsiaTheme="minorEastAsia" w:hAnsi="Times New Roman" w:cs="Times New Roman"/>
          <w:sz w:val="24"/>
          <w:szCs w:val="24"/>
          <w:lang w:eastAsia="pl-PL"/>
        </w:rPr>
      </w:pPr>
    </w:p>
    <w:p w14:paraId="65BDD7B1"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Umowa Pożyczki. </w:t>
      </w:r>
    </w:p>
    <w:p w14:paraId="3F08955D"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16</w:t>
      </w:r>
    </w:p>
    <w:p w14:paraId="4756F87C" w14:textId="77777777" w:rsidR="0099050A" w:rsidRPr="0099050A" w:rsidRDefault="0099050A" w:rsidP="00F36D3C">
      <w:pPr>
        <w:numPr>
          <w:ilvl w:val="2"/>
          <w:numId w:val="4"/>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 przypadku pozytywnej decyzji, między stronami zostaje spisana Umowa Pożyczki, której podstawowe zapisy zawierać będą w szczególności: </w:t>
      </w:r>
    </w:p>
    <w:p w14:paraId="6E8795DE"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maksymalną wysokość pożyczki, </w:t>
      </w:r>
    </w:p>
    <w:p w14:paraId="628D6A45"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prawne formy zabezpieczenia pożyczki, </w:t>
      </w:r>
    </w:p>
    <w:p w14:paraId="6632C663"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oprocentowanie,</w:t>
      </w:r>
    </w:p>
    <w:p w14:paraId="44F19E54"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wartość i charakter nakładów inwestycyjnych, </w:t>
      </w:r>
    </w:p>
    <w:p w14:paraId="0453D89B"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lastRenderedPageBreak/>
        <w:t xml:space="preserve">zobowiązania Pożyczkobiorcy, </w:t>
      </w:r>
    </w:p>
    <w:p w14:paraId="1FA96EDA" w14:textId="77777777" w:rsidR="0099050A" w:rsidRPr="0099050A" w:rsidRDefault="0099050A" w:rsidP="00F36D3C">
      <w:pPr>
        <w:numPr>
          <w:ilvl w:val="1"/>
          <w:numId w:val="9"/>
        </w:numPr>
        <w:autoSpaceDE w:val="0"/>
        <w:autoSpaceDN w:val="0"/>
        <w:adjustRightInd w:val="0"/>
        <w:spacing w:after="0"/>
        <w:ind w:left="1134" w:hanging="426"/>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skutki niewypełnienia lub nienależytego wypełnienia Umowy Pożyczki. </w:t>
      </w:r>
    </w:p>
    <w:p w14:paraId="420E720B" w14:textId="77777777" w:rsidR="0099050A" w:rsidRPr="0099050A" w:rsidRDefault="0099050A" w:rsidP="00F36D3C">
      <w:pPr>
        <w:numPr>
          <w:ilvl w:val="0"/>
          <w:numId w:val="13"/>
        </w:numPr>
        <w:autoSpaceDE w:val="0"/>
        <w:autoSpaceDN w:val="0"/>
        <w:adjustRightInd w:val="0"/>
        <w:spacing w:after="0"/>
        <w:ind w:left="567" w:hanging="567"/>
        <w:contextualSpacing/>
        <w:jc w:val="both"/>
        <w:rPr>
          <w:rFonts w:ascii="Times New Roman" w:eastAsia="Times New Roman" w:hAnsi="Times New Roman" w:cs="Times New Roman"/>
          <w:sz w:val="24"/>
          <w:szCs w:val="24"/>
        </w:rPr>
      </w:pPr>
      <w:r w:rsidRPr="0099050A">
        <w:rPr>
          <w:rFonts w:ascii="Times New Roman" w:eastAsia="Calibri" w:hAnsi="Times New Roman" w:cs="Times New Roman"/>
          <w:sz w:val="24"/>
        </w:rPr>
        <w:t xml:space="preserve">Strony zobowiązane są do zawarcia </w:t>
      </w:r>
      <w:r w:rsidRPr="0099050A">
        <w:rPr>
          <w:rFonts w:ascii="Times New Roman" w:eastAsia="Times New Roman" w:hAnsi="Times New Roman" w:cs="Times New Roman"/>
          <w:sz w:val="24"/>
          <w:szCs w:val="24"/>
        </w:rPr>
        <w:t xml:space="preserve">Umowy </w:t>
      </w:r>
      <w:r w:rsidRPr="0099050A">
        <w:rPr>
          <w:rFonts w:ascii="Times New Roman" w:eastAsia="Calibri" w:hAnsi="Times New Roman" w:cs="Times New Roman"/>
          <w:sz w:val="24"/>
        </w:rPr>
        <w:t>Pożyczki w terminie 30 dni od dnia podjęcia decyzji o udzieleniu pożyczki.</w:t>
      </w:r>
    </w:p>
    <w:p w14:paraId="3F39E976" w14:textId="77777777" w:rsidR="0099050A" w:rsidRPr="0099050A" w:rsidRDefault="0099050A" w:rsidP="00F36D3C">
      <w:pPr>
        <w:numPr>
          <w:ilvl w:val="0"/>
          <w:numId w:val="13"/>
        </w:numPr>
        <w:autoSpaceDE w:val="0"/>
        <w:autoSpaceDN w:val="0"/>
        <w:adjustRightInd w:val="0"/>
        <w:spacing w:after="0"/>
        <w:ind w:left="567" w:hanging="567"/>
        <w:contextualSpacing/>
        <w:jc w:val="both"/>
        <w:rPr>
          <w:rFonts w:ascii="Times New Roman" w:eastAsia="Times New Roman" w:hAnsi="Times New Roman" w:cs="Times New Roman"/>
          <w:sz w:val="24"/>
          <w:szCs w:val="24"/>
        </w:rPr>
      </w:pPr>
      <w:r w:rsidRPr="0099050A">
        <w:rPr>
          <w:rFonts w:ascii="Times New Roman" w:eastAsia="Calibri" w:hAnsi="Times New Roman" w:cs="Times New Roman"/>
          <w:sz w:val="24"/>
        </w:rPr>
        <w:t xml:space="preserve">W razie </w:t>
      </w:r>
      <w:proofErr w:type="spellStart"/>
      <w:r w:rsidRPr="0099050A">
        <w:rPr>
          <w:rFonts w:ascii="Times New Roman" w:eastAsia="Calibri" w:hAnsi="Times New Roman" w:cs="Times New Roman"/>
          <w:sz w:val="24"/>
        </w:rPr>
        <w:t>niezawarcia</w:t>
      </w:r>
      <w:proofErr w:type="spellEnd"/>
      <w:r w:rsidRPr="0099050A">
        <w:rPr>
          <w:rFonts w:ascii="Times New Roman" w:eastAsia="Calibri" w:hAnsi="Times New Roman" w:cs="Times New Roman"/>
          <w:sz w:val="24"/>
        </w:rPr>
        <w:t xml:space="preserve"> </w:t>
      </w:r>
      <w:r w:rsidRPr="0099050A">
        <w:rPr>
          <w:rFonts w:ascii="Times New Roman" w:eastAsia="Times New Roman" w:hAnsi="Times New Roman" w:cs="Times New Roman"/>
          <w:sz w:val="24"/>
          <w:szCs w:val="24"/>
        </w:rPr>
        <w:t xml:space="preserve">Umowy </w:t>
      </w:r>
      <w:r w:rsidRPr="0099050A">
        <w:rPr>
          <w:rFonts w:ascii="Times New Roman" w:eastAsia="Calibri" w:hAnsi="Times New Roman" w:cs="Times New Roman"/>
          <w:sz w:val="24"/>
        </w:rPr>
        <w:t>Pożyczki, spowodowanego brakiem działania Wnioskodawcy</w:t>
      </w:r>
      <w:r w:rsidRPr="0099050A">
        <w:rPr>
          <w:rFonts w:ascii="Times New Roman" w:eastAsia="Calibri" w:hAnsi="Times New Roman" w:cs="Times New Roman"/>
          <w:sz w:val="24"/>
        </w:rPr>
        <w:br/>
        <w:t xml:space="preserve">w terminie wskazanym w ust. 2, decyzja o udzieleniu pożyczki traci moc i nie może stanowić podstawy do zawarcia umowy między stronami. </w:t>
      </w:r>
    </w:p>
    <w:p w14:paraId="2BBE2910" w14:textId="77777777" w:rsidR="0099050A" w:rsidRPr="0099050A" w:rsidRDefault="0099050A" w:rsidP="0099050A">
      <w:pPr>
        <w:autoSpaceDE w:val="0"/>
        <w:autoSpaceDN w:val="0"/>
        <w:adjustRightInd w:val="0"/>
        <w:spacing w:after="240"/>
        <w:rPr>
          <w:rFonts w:ascii="Times New Roman" w:eastAsia="Times New Roman" w:hAnsi="Times New Roman" w:cs="Times New Roman"/>
          <w:sz w:val="24"/>
          <w:szCs w:val="24"/>
          <w:lang w:eastAsia="pl-PL"/>
        </w:rPr>
      </w:pPr>
    </w:p>
    <w:p w14:paraId="393A1272"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Zasady wypłacania Pożyczki. </w:t>
      </w:r>
    </w:p>
    <w:p w14:paraId="03E26BC5"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17</w:t>
      </w:r>
    </w:p>
    <w:p w14:paraId="204D1B91" w14:textId="77777777" w:rsidR="0099050A" w:rsidRPr="0099050A" w:rsidRDefault="0099050A" w:rsidP="00F36D3C">
      <w:pPr>
        <w:numPr>
          <w:ilvl w:val="0"/>
          <w:numId w:val="3"/>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Uruchomienie pożyczki następuje jednorazowo, niezwłocznie po zawarciu Umowy Pożyczki i spełnieniu warunków jej realizacji.</w:t>
      </w:r>
    </w:p>
    <w:p w14:paraId="49274997" w14:textId="77777777" w:rsidR="0099050A" w:rsidRPr="0099050A" w:rsidRDefault="0099050A" w:rsidP="00F36D3C">
      <w:pPr>
        <w:numPr>
          <w:ilvl w:val="0"/>
          <w:numId w:val="3"/>
        </w:numPr>
        <w:spacing w:after="160"/>
        <w:ind w:left="567" w:hanging="567"/>
        <w:contextualSpacing/>
        <w:jc w:val="both"/>
        <w:rPr>
          <w:rFonts w:ascii="Times New Roman" w:eastAsia="Calibri" w:hAnsi="Times New Roman" w:cs="Times New Roman"/>
          <w:sz w:val="24"/>
          <w:szCs w:val="24"/>
        </w:rPr>
      </w:pPr>
      <w:r w:rsidRPr="0099050A">
        <w:rPr>
          <w:rFonts w:ascii="Times New Roman" w:eastAsia="Calibri" w:hAnsi="Times New Roman" w:cs="Times New Roman"/>
          <w:sz w:val="24"/>
          <w:szCs w:val="24"/>
        </w:rPr>
        <w:t xml:space="preserve">Maksymalny termin na wypłatę PU wynosi 30 dni od dnia zawarcia Umowy </w:t>
      </w:r>
      <w:r w:rsidRPr="0099050A">
        <w:rPr>
          <w:rFonts w:ascii="Times New Roman" w:eastAsia="Calibri" w:hAnsi="Times New Roman" w:cs="Times New Roman"/>
          <w:sz w:val="24"/>
        </w:rPr>
        <w:t>Pożyczki</w:t>
      </w:r>
      <w:r w:rsidRPr="0099050A">
        <w:rPr>
          <w:rFonts w:ascii="Times New Roman" w:eastAsia="Calibri" w:hAnsi="Times New Roman" w:cs="Times New Roman"/>
          <w:sz w:val="24"/>
          <w:szCs w:val="24"/>
        </w:rPr>
        <w:t xml:space="preserve">. </w:t>
      </w:r>
    </w:p>
    <w:p w14:paraId="033EFD60" w14:textId="77777777" w:rsidR="0099050A" w:rsidRPr="0099050A" w:rsidRDefault="0099050A" w:rsidP="0099050A">
      <w:pPr>
        <w:spacing w:after="0"/>
        <w:ind w:left="720"/>
        <w:contextualSpacing/>
        <w:jc w:val="both"/>
        <w:rPr>
          <w:rFonts w:ascii="Times New Roman" w:eastAsia="Calibri" w:hAnsi="Times New Roman" w:cs="Times New Roman"/>
          <w:sz w:val="24"/>
          <w:szCs w:val="24"/>
        </w:rPr>
      </w:pPr>
    </w:p>
    <w:p w14:paraId="228B0559"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18</w:t>
      </w:r>
    </w:p>
    <w:p w14:paraId="4A58E706" w14:textId="77777777" w:rsidR="0099050A" w:rsidRPr="0099050A" w:rsidRDefault="0099050A" w:rsidP="0099050A">
      <w:pPr>
        <w:spacing w:after="0"/>
        <w:jc w:val="both"/>
        <w:rPr>
          <w:rFonts w:ascii="Times New Roman" w:eastAsiaTheme="minorEastAsia" w:hAnsi="Times New Roman" w:cs="Times New Roman"/>
          <w:sz w:val="24"/>
          <w:szCs w:val="24"/>
          <w:lang w:eastAsia="pl-PL"/>
        </w:rPr>
      </w:pPr>
      <w:r w:rsidRPr="0099050A">
        <w:rPr>
          <w:rFonts w:ascii="Times New Roman" w:eastAsiaTheme="minorEastAsia" w:hAnsi="Times New Roman" w:cs="Times New Roman"/>
          <w:sz w:val="24"/>
          <w:szCs w:val="24"/>
          <w:lang w:eastAsia="pl-PL"/>
        </w:rPr>
        <w:t>Wypłata pożyczki realizowana jest w formie bezgotówkowej, na wskazany przez Pożyczkobiorcę rachunek bankowy.</w:t>
      </w:r>
    </w:p>
    <w:p w14:paraId="4FA3AACB" w14:textId="77777777" w:rsidR="0099050A" w:rsidRPr="0099050A" w:rsidRDefault="0099050A" w:rsidP="0099050A">
      <w:pPr>
        <w:spacing w:after="0"/>
        <w:ind w:left="720"/>
        <w:contextualSpacing/>
        <w:jc w:val="both"/>
        <w:rPr>
          <w:rFonts w:ascii="Times New Roman" w:eastAsia="Calibri" w:hAnsi="Times New Roman" w:cs="Times New Roman"/>
          <w:sz w:val="24"/>
          <w:szCs w:val="24"/>
        </w:rPr>
      </w:pPr>
    </w:p>
    <w:p w14:paraId="54DC10E0"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19</w:t>
      </w:r>
    </w:p>
    <w:p w14:paraId="19804721" w14:textId="77777777" w:rsidR="0099050A" w:rsidRPr="0099050A" w:rsidRDefault="0099050A" w:rsidP="00F36D3C">
      <w:pPr>
        <w:numPr>
          <w:ilvl w:val="0"/>
          <w:numId w:val="12"/>
        </w:numPr>
        <w:autoSpaceDE w:val="0"/>
        <w:autoSpaceDN w:val="0"/>
        <w:adjustRightInd w:val="0"/>
        <w:spacing w:after="0"/>
        <w:ind w:left="567" w:hanging="567"/>
        <w:jc w:val="both"/>
        <w:rPr>
          <w:rFonts w:ascii="Times New Roman" w:eastAsia="Times New Roman" w:hAnsi="Times New Roman" w:cs="Times New Roman"/>
          <w:bCs/>
          <w:sz w:val="24"/>
          <w:lang w:eastAsia="pl-PL"/>
        </w:rPr>
      </w:pPr>
      <w:r w:rsidRPr="0099050A">
        <w:rPr>
          <w:rFonts w:ascii="Times New Roman" w:eastAsia="Times New Roman" w:hAnsi="Times New Roman" w:cs="Times New Roman"/>
          <w:bCs/>
          <w:sz w:val="24"/>
          <w:lang w:eastAsia="pl-PL"/>
        </w:rPr>
        <w:t xml:space="preserve">W przypadku dokonywania w ramach inwestycji płatności za maszyny, urządzenia i usługi nabywane, FRW realizuje </w:t>
      </w:r>
      <w:r w:rsidRPr="0099050A">
        <w:rPr>
          <w:rFonts w:ascii="Times New Roman" w:eastAsia="Times New Roman" w:hAnsi="Times New Roman" w:cs="Times New Roman"/>
          <w:sz w:val="24"/>
          <w:szCs w:val="24"/>
          <w:lang w:eastAsia="pl-PL"/>
        </w:rPr>
        <w:t xml:space="preserve">Umowę </w:t>
      </w:r>
      <w:r w:rsidRPr="0099050A">
        <w:rPr>
          <w:rFonts w:ascii="Times New Roman" w:eastAsiaTheme="minorEastAsia" w:hAnsi="Times New Roman" w:cs="Times New Roman"/>
          <w:sz w:val="24"/>
          <w:lang w:eastAsia="pl-PL"/>
        </w:rPr>
        <w:t>Pożyczki</w:t>
      </w:r>
      <w:r w:rsidRPr="0099050A">
        <w:rPr>
          <w:rFonts w:ascii="Times New Roman" w:eastAsia="Times New Roman" w:hAnsi="Times New Roman" w:cs="Times New Roman"/>
          <w:bCs/>
          <w:sz w:val="24"/>
          <w:lang w:eastAsia="pl-PL"/>
        </w:rPr>
        <w:t xml:space="preserve"> w oparciu o przedstawione rachunki oraz faktury. Zalecaną formą płatności jest przekazywanie środków bezpośrednio na rachunek bankowy dostawcy dóbr inwestycyjnych lub usługodawcy. </w:t>
      </w:r>
    </w:p>
    <w:p w14:paraId="69358A16" w14:textId="77777777" w:rsidR="0099050A" w:rsidRPr="0099050A" w:rsidRDefault="0099050A" w:rsidP="00F36D3C">
      <w:pPr>
        <w:numPr>
          <w:ilvl w:val="0"/>
          <w:numId w:val="12"/>
        </w:numPr>
        <w:autoSpaceDE w:val="0"/>
        <w:autoSpaceDN w:val="0"/>
        <w:adjustRightInd w:val="0"/>
        <w:spacing w:after="0"/>
        <w:ind w:left="567" w:hanging="567"/>
        <w:jc w:val="both"/>
        <w:rPr>
          <w:rFonts w:ascii="Times New Roman" w:eastAsia="Times New Roman" w:hAnsi="Times New Roman" w:cs="Times New Roman"/>
          <w:bCs/>
          <w:sz w:val="24"/>
          <w:lang w:eastAsia="pl-PL"/>
        </w:rPr>
      </w:pPr>
      <w:r w:rsidRPr="0099050A">
        <w:rPr>
          <w:rFonts w:ascii="Times New Roman" w:eastAsia="Times New Roman" w:hAnsi="Times New Roman" w:cs="Times New Roman"/>
          <w:bCs/>
          <w:sz w:val="24"/>
          <w:lang w:eastAsia="pl-PL"/>
        </w:rPr>
        <w:t xml:space="preserve">Pożyczkobiorca jest zobowiązany do dokonywania płatności związanych z realizacją </w:t>
      </w:r>
      <w:r w:rsidRPr="0099050A">
        <w:rPr>
          <w:rFonts w:ascii="Times New Roman" w:eastAsia="Times New Roman" w:hAnsi="Times New Roman" w:cs="Times New Roman"/>
          <w:sz w:val="24"/>
          <w:szCs w:val="24"/>
          <w:lang w:eastAsia="pl-PL"/>
        </w:rPr>
        <w:t xml:space="preserve">Umowy </w:t>
      </w:r>
      <w:r w:rsidRPr="0099050A">
        <w:rPr>
          <w:rFonts w:ascii="Times New Roman" w:eastAsiaTheme="minorEastAsia" w:hAnsi="Times New Roman" w:cs="Times New Roman"/>
          <w:sz w:val="24"/>
          <w:lang w:eastAsia="pl-PL"/>
        </w:rPr>
        <w:t>Pożyczki</w:t>
      </w:r>
      <w:r w:rsidRPr="0099050A">
        <w:rPr>
          <w:rFonts w:ascii="Times New Roman" w:eastAsia="Times New Roman" w:hAnsi="Times New Roman" w:cs="Times New Roman"/>
          <w:bCs/>
          <w:sz w:val="24"/>
          <w:lang w:eastAsia="pl-PL"/>
        </w:rPr>
        <w:t xml:space="preserve"> za pośrednictwem rachunku bankowego Pożyczkobiorcy w każdym przypadku, gdy:</w:t>
      </w:r>
    </w:p>
    <w:p w14:paraId="45FF6AAC" w14:textId="77777777" w:rsidR="0099050A" w:rsidRPr="0099050A" w:rsidRDefault="0099050A" w:rsidP="00F36D3C">
      <w:pPr>
        <w:numPr>
          <w:ilvl w:val="1"/>
          <w:numId w:val="12"/>
        </w:numPr>
        <w:autoSpaceDE w:val="0"/>
        <w:autoSpaceDN w:val="0"/>
        <w:adjustRightInd w:val="0"/>
        <w:spacing w:after="0"/>
        <w:ind w:left="1134" w:hanging="425"/>
        <w:jc w:val="both"/>
        <w:rPr>
          <w:rFonts w:ascii="Times New Roman" w:eastAsia="Times New Roman" w:hAnsi="Times New Roman" w:cs="Times New Roman"/>
          <w:bCs/>
          <w:sz w:val="24"/>
          <w:lang w:eastAsia="pl-PL"/>
        </w:rPr>
      </w:pPr>
      <w:r w:rsidRPr="0099050A">
        <w:rPr>
          <w:rFonts w:ascii="Times New Roman" w:eastAsia="Times New Roman" w:hAnsi="Times New Roman" w:cs="Times New Roman"/>
          <w:bCs/>
          <w:sz w:val="24"/>
          <w:lang w:eastAsia="pl-PL"/>
        </w:rPr>
        <w:t>stroną transakcji, z której wynika płatność, jest inny przedsiębiorca oraz</w:t>
      </w:r>
    </w:p>
    <w:p w14:paraId="72AC2BE9" w14:textId="77777777" w:rsidR="0099050A" w:rsidRPr="0099050A" w:rsidRDefault="0099050A" w:rsidP="00F36D3C">
      <w:pPr>
        <w:numPr>
          <w:ilvl w:val="1"/>
          <w:numId w:val="12"/>
        </w:numPr>
        <w:autoSpaceDE w:val="0"/>
        <w:autoSpaceDN w:val="0"/>
        <w:adjustRightInd w:val="0"/>
        <w:spacing w:after="240"/>
        <w:ind w:left="1134" w:hanging="425"/>
        <w:jc w:val="both"/>
        <w:rPr>
          <w:rFonts w:ascii="Times New Roman" w:eastAsia="Times New Roman" w:hAnsi="Times New Roman" w:cs="Times New Roman"/>
          <w:bCs/>
          <w:sz w:val="24"/>
          <w:lang w:eastAsia="pl-PL"/>
        </w:rPr>
      </w:pPr>
      <w:r w:rsidRPr="0099050A">
        <w:rPr>
          <w:rFonts w:ascii="Times New Roman" w:eastAsia="Times New Roman" w:hAnsi="Times New Roman" w:cs="Times New Roman"/>
          <w:bCs/>
          <w:sz w:val="24"/>
          <w:lang w:eastAsia="pl-PL"/>
        </w:rPr>
        <w:t>jednorazowa wartość transakcji, bez względu na liczbę wynikających z niej płatności, przekracza równowartość 15 000,00 PLN, przy czym transakcje w walutach obcych przelicza się na złote według kursu średniego walut obcych ogłaszanego przez Narodowy Bank Polski z ostatniego dnia roboczego poprzedzającego dzień dokonania transakcji.</w:t>
      </w:r>
    </w:p>
    <w:p w14:paraId="521D8B45"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p>
    <w:p w14:paraId="5274B932"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Spłata Pożyczki</w:t>
      </w:r>
    </w:p>
    <w:p w14:paraId="62F198EA"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sz w:val="24"/>
          <w:szCs w:val="24"/>
          <w:lang w:eastAsia="pl-PL"/>
        </w:rPr>
      </w:pPr>
      <w:r w:rsidRPr="0099050A">
        <w:rPr>
          <w:rFonts w:ascii="Times New Roman" w:eastAsia="Times New Roman" w:hAnsi="Times New Roman" w:cs="Times New Roman"/>
          <w:b/>
          <w:bCs/>
          <w:sz w:val="24"/>
          <w:szCs w:val="24"/>
          <w:lang w:eastAsia="pl-PL"/>
        </w:rPr>
        <w:t>§ 20</w:t>
      </w:r>
    </w:p>
    <w:p w14:paraId="69843C78" w14:textId="77777777" w:rsidR="0099050A" w:rsidRPr="0099050A" w:rsidRDefault="0099050A" w:rsidP="00F36D3C">
      <w:pPr>
        <w:numPr>
          <w:ilvl w:val="0"/>
          <w:numId w:val="6"/>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Wysokość raty oraz terminy spłaty pożyczki określa harmonogram spłaty będący </w:t>
      </w:r>
      <w:r w:rsidRPr="0099050A">
        <w:rPr>
          <w:rFonts w:ascii="Times New Roman" w:eastAsia="Times New Roman" w:hAnsi="Times New Roman" w:cs="Times New Roman"/>
          <w:sz w:val="24"/>
          <w:szCs w:val="24"/>
          <w:lang w:eastAsia="pl-PL"/>
        </w:rPr>
        <w:br/>
        <w:t xml:space="preserve">integralną częścią </w:t>
      </w:r>
      <w:r w:rsidRPr="0099050A">
        <w:rPr>
          <w:rFonts w:ascii="Times New Roman" w:eastAsia="Times New Roman" w:hAnsi="Times New Roman" w:cs="Times New Roman"/>
          <w:color w:val="000000"/>
          <w:sz w:val="24"/>
          <w:szCs w:val="24"/>
          <w:lang w:eastAsia="pl-PL"/>
        </w:rPr>
        <w:t xml:space="preserve">Umowy </w:t>
      </w:r>
      <w:r w:rsidRPr="0099050A">
        <w:rPr>
          <w:rFonts w:ascii="Times New Roman" w:eastAsia="Times New Roman" w:hAnsi="Times New Roman" w:cs="Times New Roman"/>
          <w:sz w:val="24"/>
          <w:szCs w:val="24"/>
          <w:lang w:eastAsia="pl-PL"/>
        </w:rPr>
        <w:t>Pożyczki.</w:t>
      </w:r>
    </w:p>
    <w:p w14:paraId="1110C447" w14:textId="77777777" w:rsidR="0099050A" w:rsidRPr="0099050A" w:rsidRDefault="0099050A" w:rsidP="00F36D3C">
      <w:pPr>
        <w:numPr>
          <w:ilvl w:val="0"/>
          <w:numId w:val="6"/>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Spłata rat pożyczki następuje w okresach miesięcznych, zgodnie z terminami określonymi w harmonogramie spłat.</w:t>
      </w:r>
    </w:p>
    <w:p w14:paraId="4B4694DC"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p>
    <w:p w14:paraId="6DC9972F"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lastRenderedPageBreak/>
        <w:t>§ 21</w:t>
      </w:r>
    </w:p>
    <w:p w14:paraId="69B9C90D"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Należności niespłacone w terminie określonym w harmonogramie spłat stają się zadłużeniem przeterminowanym od dnia następnego po upływie terminu spłaty. </w:t>
      </w:r>
    </w:p>
    <w:p w14:paraId="1762F5FB"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p>
    <w:p w14:paraId="4A835422"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22</w:t>
      </w:r>
    </w:p>
    <w:p w14:paraId="2B3F6DCD"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Od zadłużenia przeterminowanego, w części dotyczącej kapitału, powstałego w wyniku niespłacenia całości lub części pożyczki w terminach ustalonych w harmonogramie spłaty oraz od całości lub części pożyczki postawionej w stan wymagalności - odsetki są naliczane w wysokości odsetek ustawowych za opóźnienie.</w:t>
      </w:r>
    </w:p>
    <w:p w14:paraId="3B6415F5" w14:textId="77777777" w:rsidR="0099050A" w:rsidRPr="0099050A" w:rsidRDefault="0099050A" w:rsidP="0099050A">
      <w:pPr>
        <w:autoSpaceDE w:val="0"/>
        <w:autoSpaceDN w:val="0"/>
        <w:adjustRightInd w:val="0"/>
        <w:spacing w:after="0"/>
        <w:rPr>
          <w:rFonts w:ascii="Times New Roman" w:eastAsia="Times New Roman" w:hAnsi="Times New Roman" w:cs="Times New Roman"/>
          <w:sz w:val="24"/>
          <w:szCs w:val="24"/>
          <w:lang w:eastAsia="pl-PL"/>
        </w:rPr>
      </w:pPr>
    </w:p>
    <w:p w14:paraId="09AB3299"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23</w:t>
      </w:r>
    </w:p>
    <w:p w14:paraId="07C0BBDA"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Roszczenia FRW z tytułu niespłaconej pożyczki i odsetek pokrywane są w następującej kolejności: </w:t>
      </w:r>
    </w:p>
    <w:p w14:paraId="07F34A61" w14:textId="77777777" w:rsidR="0099050A" w:rsidRPr="0099050A" w:rsidRDefault="0099050A" w:rsidP="00F36D3C">
      <w:pPr>
        <w:numPr>
          <w:ilvl w:val="1"/>
          <w:numId w:val="18"/>
        </w:numPr>
        <w:autoSpaceDE w:val="0"/>
        <w:autoSpaceDN w:val="0"/>
        <w:adjustRightInd w:val="0"/>
        <w:spacing w:after="0"/>
        <w:ind w:left="709"/>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koszty sądowe i koszty egzekucyjne, w przypadku ich wystąpienia,</w:t>
      </w:r>
    </w:p>
    <w:p w14:paraId="1B7916D9" w14:textId="77777777" w:rsidR="0099050A" w:rsidRPr="0099050A" w:rsidRDefault="0099050A" w:rsidP="00F36D3C">
      <w:pPr>
        <w:numPr>
          <w:ilvl w:val="1"/>
          <w:numId w:val="18"/>
        </w:numPr>
        <w:autoSpaceDE w:val="0"/>
        <w:autoSpaceDN w:val="0"/>
        <w:adjustRightInd w:val="0"/>
        <w:spacing w:after="0"/>
        <w:ind w:left="709"/>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należne FRW opłaty i prowizje zgodnie z Tabelą opłat i prowizji, </w:t>
      </w:r>
    </w:p>
    <w:p w14:paraId="0F6E51BC" w14:textId="77777777" w:rsidR="0099050A" w:rsidRPr="0099050A" w:rsidRDefault="0099050A" w:rsidP="00F36D3C">
      <w:pPr>
        <w:numPr>
          <w:ilvl w:val="1"/>
          <w:numId w:val="18"/>
        </w:numPr>
        <w:autoSpaceDE w:val="0"/>
        <w:autoSpaceDN w:val="0"/>
        <w:adjustRightInd w:val="0"/>
        <w:spacing w:after="0"/>
        <w:ind w:left="709"/>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odsetki od zadłużenia przeterminowanego, </w:t>
      </w:r>
    </w:p>
    <w:p w14:paraId="1642570A" w14:textId="77777777" w:rsidR="0099050A" w:rsidRPr="0099050A" w:rsidRDefault="0099050A" w:rsidP="00F36D3C">
      <w:pPr>
        <w:numPr>
          <w:ilvl w:val="1"/>
          <w:numId w:val="18"/>
        </w:numPr>
        <w:autoSpaceDE w:val="0"/>
        <w:autoSpaceDN w:val="0"/>
        <w:adjustRightInd w:val="0"/>
        <w:spacing w:after="0"/>
        <w:ind w:left="709"/>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odsetki kapitałowe (oprocentowanie pożyczki), </w:t>
      </w:r>
    </w:p>
    <w:p w14:paraId="0A11E7E3" w14:textId="77777777" w:rsidR="0099050A" w:rsidRPr="0099050A" w:rsidRDefault="0099050A" w:rsidP="00F36D3C">
      <w:pPr>
        <w:numPr>
          <w:ilvl w:val="1"/>
          <w:numId w:val="18"/>
        </w:numPr>
        <w:autoSpaceDE w:val="0"/>
        <w:autoSpaceDN w:val="0"/>
        <w:adjustRightInd w:val="0"/>
        <w:spacing w:after="0"/>
        <w:ind w:left="709"/>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kapitał. </w:t>
      </w:r>
    </w:p>
    <w:p w14:paraId="6BF9AD5A" w14:textId="77777777" w:rsidR="0099050A" w:rsidRPr="0099050A" w:rsidRDefault="0099050A" w:rsidP="0099050A">
      <w:pPr>
        <w:autoSpaceDE w:val="0"/>
        <w:autoSpaceDN w:val="0"/>
        <w:adjustRightInd w:val="0"/>
        <w:spacing w:after="240"/>
        <w:rPr>
          <w:rFonts w:ascii="Times New Roman" w:eastAsia="Times New Roman" w:hAnsi="Times New Roman" w:cs="Times New Roman"/>
          <w:sz w:val="24"/>
          <w:szCs w:val="24"/>
          <w:lang w:eastAsia="pl-PL"/>
        </w:rPr>
      </w:pPr>
    </w:p>
    <w:p w14:paraId="647C573F"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Monitoring </w:t>
      </w:r>
    </w:p>
    <w:p w14:paraId="112BE7FA"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24</w:t>
      </w:r>
    </w:p>
    <w:p w14:paraId="5C6F1E5C" w14:textId="77777777" w:rsidR="0099050A" w:rsidRPr="0099050A" w:rsidRDefault="0099050A" w:rsidP="00F36D3C">
      <w:pPr>
        <w:numPr>
          <w:ilvl w:val="0"/>
          <w:numId w:val="7"/>
        </w:numPr>
        <w:autoSpaceDE w:val="0"/>
        <w:autoSpaceDN w:val="0"/>
        <w:adjustRightInd w:val="0"/>
        <w:spacing w:after="53"/>
        <w:ind w:left="567" w:hanging="567"/>
        <w:contextualSpacing/>
        <w:jc w:val="both"/>
        <w:rPr>
          <w:rFonts w:ascii="Times New Roman" w:hAnsi="Times New Roman" w:cs="Times New Roman"/>
          <w:color w:val="000000"/>
          <w:sz w:val="24"/>
          <w:szCs w:val="24"/>
        </w:rPr>
      </w:pPr>
      <w:r w:rsidRPr="0099050A">
        <w:rPr>
          <w:rFonts w:ascii="Times New Roman" w:hAnsi="Times New Roman" w:cs="Times New Roman"/>
          <w:color w:val="000000"/>
          <w:sz w:val="24"/>
          <w:szCs w:val="24"/>
        </w:rPr>
        <w:t xml:space="preserve">Wydatkowanie środków PU przez Pożyczkobiorcę następuje w terminie: </w:t>
      </w:r>
    </w:p>
    <w:p w14:paraId="2DECA6A2" w14:textId="77777777" w:rsidR="0099050A" w:rsidRPr="0099050A" w:rsidRDefault="0099050A" w:rsidP="00F36D3C">
      <w:pPr>
        <w:numPr>
          <w:ilvl w:val="1"/>
          <w:numId w:val="28"/>
        </w:numPr>
        <w:autoSpaceDE w:val="0"/>
        <w:autoSpaceDN w:val="0"/>
        <w:adjustRightInd w:val="0"/>
        <w:spacing w:after="53"/>
        <w:ind w:left="1134" w:hanging="425"/>
        <w:contextualSpacing/>
        <w:jc w:val="both"/>
        <w:rPr>
          <w:rFonts w:ascii="Times New Roman" w:hAnsi="Times New Roman" w:cs="Times New Roman"/>
          <w:color w:val="000000"/>
          <w:sz w:val="24"/>
          <w:szCs w:val="24"/>
        </w:rPr>
      </w:pPr>
      <w:r w:rsidRPr="0099050A">
        <w:rPr>
          <w:rFonts w:ascii="Times New Roman" w:hAnsi="Times New Roman" w:cs="Times New Roman"/>
          <w:bCs/>
          <w:color w:val="000000"/>
          <w:sz w:val="24"/>
          <w:szCs w:val="24"/>
        </w:rPr>
        <w:t xml:space="preserve">do 6 miesięcy </w:t>
      </w:r>
      <w:r w:rsidRPr="0099050A">
        <w:rPr>
          <w:rFonts w:ascii="Times New Roman" w:hAnsi="Times New Roman" w:cs="Times New Roman"/>
          <w:color w:val="000000"/>
          <w:sz w:val="24"/>
          <w:szCs w:val="24"/>
        </w:rPr>
        <w:t xml:space="preserve">od uruchomienia PU udzielonej na cele obrotowe, </w:t>
      </w:r>
    </w:p>
    <w:p w14:paraId="6AC16E50" w14:textId="77777777" w:rsidR="0099050A" w:rsidRPr="0099050A" w:rsidRDefault="0099050A" w:rsidP="00F36D3C">
      <w:pPr>
        <w:numPr>
          <w:ilvl w:val="1"/>
          <w:numId w:val="28"/>
        </w:numPr>
        <w:autoSpaceDE w:val="0"/>
        <w:autoSpaceDN w:val="0"/>
        <w:adjustRightInd w:val="0"/>
        <w:spacing w:after="53"/>
        <w:ind w:left="1134" w:hanging="425"/>
        <w:contextualSpacing/>
        <w:jc w:val="both"/>
        <w:rPr>
          <w:rFonts w:ascii="Times New Roman" w:hAnsi="Times New Roman" w:cs="Times New Roman"/>
          <w:color w:val="000000"/>
          <w:sz w:val="24"/>
          <w:szCs w:val="24"/>
        </w:rPr>
      </w:pPr>
      <w:r w:rsidRPr="0099050A">
        <w:rPr>
          <w:rFonts w:ascii="Times New Roman" w:hAnsi="Times New Roman" w:cs="Times New Roman"/>
          <w:bCs/>
          <w:color w:val="000000"/>
          <w:sz w:val="24"/>
          <w:szCs w:val="24"/>
        </w:rPr>
        <w:t xml:space="preserve">do 12 miesięcy </w:t>
      </w:r>
      <w:r w:rsidRPr="0099050A">
        <w:rPr>
          <w:rFonts w:ascii="Times New Roman" w:hAnsi="Times New Roman" w:cs="Times New Roman"/>
          <w:color w:val="000000"/>
          <w:sz w:val="24"/>
          <w:szCs w:val="24"/>
        </w:rPr>
        <w:t xml:space="preserve">od uruchomienia PU udzielonej na cele inwestycyjne/ inwestycyjno-obrotowe. </w:t>
      </w:r>
    </w:p>
    <w:p w14:paraId="19B1EE9F" w14:textId="77777777" w:rsidR="0099050A" w:rsidRPr="0099050A" w:rsidRDefault="0099050A" w:rsidP="00F36D3C">
      <w:pPr>
        <w:numPr>
          <w:ilvl w:val="0"/>
          <w:numId w:val="7"/>
        </w:numPr>
        <w:autoSpaceDE w:val="0"/>
        <w:autoSpaceDN w:val="0"/>
        <w:adjustRightInd w:val="0"/>
        <w:spacing w:after="0"/>
        <w:ind w:left="567" w:hanging="567"/>
        <w:contextualSpacing/>
        <w:jc w:val="both"/>
        <w:rPr>
          <w:rFonts w:ascii="Times New Roman" w:hAnsi="Times New Roman" w:cs="Times New Roman"/>
          <w:color w:val="000000"/>
          <w:sz w:val="24"/>
          <w:szCs w:val="24"/>
        </w:rPr>
      </w:pPr>
      <w:r w:rsidRPr="0099050A">
        <w:rPr>
          <w:rFonts w:ascii="Times New Roman" w:hAnsi="Times New Roman" w:cs="Times New Roman"/>
          <w:color w:val="000000"/>
          <w:sz w:val="24"/>
          <w:szCs w:val="24"/>
        </w:rPr>
        <w:t>Wydatkowanie środków z PU, zgodnie z przeznaczeniem na jakie została udzielona, musi zostać udokumentowane FRW przez Pożyczkobiorcę w terminie do 30 dni kalendarzowych liczonych od dnia następującego po upływie terminu, o którym mowa w ust. 1 lit. a) i b) powyżej.</w:t>
      </w:r>
    </w:p>
    <w:p w14:paraId="5A1C1164" w14:textId="77777777" w:rsidR="0099050A" w:rsidRPr="0099050A" w:rsidRDefault="0099050A" w:rsidP="00F36D3C">
      <w:pPr>
        <w:numPr>
          <w:ilvl w:val="0"/>
          <w:numId w:val="7"/>
        </w:numPr>
        <w:autoSpaceDE w:val="0"/>
        <w:autoSpaceDN w:val="0"/>
        <w:adjustRightInd w:val="0"/>
        <w:spacing w:after="0"/>
        <w:ind w:left="567" w:hanging="567"/>
        <w:contextualSpacing/>
        <w:jc w:val="both"/>
        <w:rPr>
          <w:rFonts w:ascii="Times New Roman" w:hAnsi="Times New Roman" w:cs="Times New Roman"/>
          <w:color w:val="000000"/>
          <w:sz w:val="24"/>
          <w:szCs w:val="24"/>
        </w:rPr>
      </w:pPr>
      <w:r w:rsidRPr="0099050A">
        <w:rPr>
          <w:rFonts w:ascii="Times New Roman" w:hAnsi="Times New Roman" w:cs="Times New Roman"/>
          <w:color w:val="000000"/>
          <w:sz w:val="24"/>
          <w:szCs w:val="24"/>
        </w:rPr>
        <w:t xml:space="preserve">W uzasadnionych przypadkach, ze względu na charakter inwestycji i na wniosek Pożyczkobiorcy, termin, o którym mowa w ust. 1 lit. b) powyżej, może ulec wydłużeniu maksymalnie o kolejnych 30 dni kalendarzowych. </w:t>
      </w:r>
    </w:p>
    <w:p w14:paraId="01D41C0C" w14:textId="77777777" w:rsidR="0099050A" w:rsidRPr="0099050A" w:rsidRDefault="0099050A" w:rsidP="00F36D3C">
      <w:pPr>
        <w:numPr>
          <w:ilvl w:val="0"/>
          <w:numId w:val="7"/>
        </w:numPr>
        <w:autoSpaceDE w:val="0"/>
        <w:autoSpaceDN w:val="0"/>
        <w:adjustRightInd w:val="0"/>
        <w:spacing w:after="0"/>
        <w:ind w:left="567" w:hanging="567"/>
        <w:contextualSpacing/>
        <w:jc w:val="both"/>
        <w:rPr>
          <w:rFonts w:ascii="Times New Roman" w:hAnsi="Times New Roman" w:cs="Times New Roman"/>
          <w:color w:val="000000"/>
          <w:sz w:val="24"/>
          <w:szCs w:val="24"/>
        </w:rPr>
      </w:pPr>
      <w:r w:rsidRPr="0099050A">
        <w:rPr>
          <w:rFonts w:ascii="Times New Roman" w:hAnsi="Times New Roman" w:cs="Times New Roman"/>
          <w:color w:val="000000"/>
          <w:sz w:val="24"/>
          <w:szCs w:val="24"/>
        </w:rPr>
        <w:t>Potwierdzeniem wydatkowania środków PU są: kopie faktur, rachunków lub innych dokumentów potwierdzających wydatkowanie środków zgodnie z celem PU, potwierdzonych przez FRW za zgodność z dokumentami przedłożonymi przez Pożyczkobiorcę wraz z zestawieniem wydatków.</w:t>
      </w:r>
    </w:p>
    <w:p w14:paraId="4144AF5B" w14:textId="77777777" w:rsidR="0099050A" w:rsidRPr="0099050A" w:rsidRDefault="0099050A" w:rsidP="00F36D3C">
      <w:pPr>
        <w:numPr>
          <w:ilvl w:val="0"/>
          <w:numId w:val="7"/>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FRW nie jest uprawnione do dokonywania jakichkolwiek potrąceń z wypłacanych kwot PU, w szczególności z tytułu zobowiązań finansowych Pożyczkobiorcy w stosunku do FRW, za wyjątkiem prowizji, o której mowa w §7 ust. 1-2.</w:t>
      </w:r>
    </w:p>
    <w:p w14:paraId="03081C58" w14:textId="78C19BA7" w:rsidR="0099050A" w:rsidRDefault="0099050A" w:rsidP="0099050A">
      <w:pPr>
        <w:autoSpaceDE w:val="0"/>
        <w:autoSpaceDN w:val="0"/>
        <w:adjustRightInd w:val="0"/>
        <w:spacing w:after="0"/>
        <w:jc w:val="center"/>
        <w:rPr>
          <w:rFonts w:ascii="Times New Roman" w:eastAsia="Times New Roman" w:hAnsi="Times New Roman" w:cs="Times New Roman"/>
          <w:b/>
          <w:bCs/>
          <w:sz w:val="24"/>
          <w:szCs w:val="24"/>
          <w:highlight w:val="yellow"/>
          <w:lang w:eastAsia="pl-PL"/>
        </w:rPr>
      </w:pPr>
    </w:p>
    <w:p w14:paraId="367D4370"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highlight w:val="yellow"/>
          <w:lang w:eastAsia="pl-PL"/>
        </w:rPr>
      </w:pPr>
    </w:p>
    <w:p w14:paraId="6933FDC2"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25</w:t>
      </w:r>
    </w:p>
    <w:p w14:paraId="0A9AF89D" w14:textId="77777777" w:rsidR="0099050A" w:rsidRPr="0099050A" w:rsidRDefault="0099050A" w:rsidP="00F36D3C">
      <w:pPr>
        <w:numPr>
          <w:ilvl w:val="0"/>
          <w:numId w:val="17"/>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Pożyczkobiorcy mogą zostać poddani nadzorowi w zakresie sposobu wykorzystania pożyczki oraz realizacji innych postanowień Umowy Pożyczki. W szczególności kontroli podlega ewidencja operacji księgowych i bankowych związanych z pożyczką oraz dokumentacja dotycząca wykorzystania pożyczki. </w:t>
      </w:r>
    </w:p>
    <w:p w14:paraId="7640502F" w14:textId="77777777" w:rsidR="0099050A" w:rsidRPr="0099050A" w:rsidRDefault="0099050A" w:rsidP="00F36D3C">
      <w:pPr>
        <w:numPr>
          <w:ilvl w:val="0"/>
          <w:numId w:val="17"/>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hAnsi="Times New Roman" w:cs="Arial"/>
          <w:color w:val="000000"/>
          <w:sz w:val="24"/>
          <w:szCs w:val="24"/>
          <w:lang w:eastAsia="pl-PL"/>
        </w:rPr>
        <w:t xml:space="preserve">FRW będzie także uprawnione do monitorowania liczby utworzonych u Pożyczkobiorców miejsc pracy w wyniku otrzymania PU. </w:t>
      </w:r>
    </w:p>
    <w:p w14:paraId="1C512146" w14:textId="77777777" w:rsidR="0099050A" w:rsidRPr="0099050A" w:rsidRDefault="0099050A" w:rsidP="00F36D3C">
      <w:pPr>
        <w:numPr>
          <w:ilvl w:val="0"/>
          <w:numId w:val="17"/>
        </w:numPr>
        <w:autoSpaceDE w:val="0"/>
        <w:autoSpaceDN w:val="0"/>
        <w:adjustRightInd w:val="0"/>
        <w:spacing w:after="0"/>
        <w:ind w:left="567" w:hanging="567"/>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Powyższe uprawnienia FRW będzie realizowało poprzez wizytację siedziby Pożyczkobiorcy, a także kontrolę dokumentów oraz zapisów księgowych potwierdzających wydatki, źródła finansowania i liczbę utworzonych miejsc pracy.</w:t>
      </w:r>
    </w:p>
    <w:p w14:paraId="6F763A31" w14:textId="77777777" w:rsidR="0099050A" w:rsidRPr="0099050A" w:rsidRDefault="0099050A" w:rsidP="0099050A">
      <w:pPr>
        <w:autoSpaceDE w:val="0"/>
        <w:autoSpaceDN w:val="0"/>
        <w:adjustRightInd w:val="0"/>
        <w:spacing w:after="240"/>
        <w:jc w:val="both"/>
        <w:rPr>
          <w:rFonts w:ascii="Times New Roman" w:eastAsia="Times New Roman" w:hAnsi="Times New Roman" w:cs="Times New Roman"/>
          <w:b/>
          <w:bCs/>
          <w:sz w:val="24"/>
          <w:szCs w:val="24"/>
          <w:lang w:eastAsia="pl-PL"/>
        </w:rPr>
      </w:pPr>
    </w:p>
    <w:p w14:paraId="25A359BF"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Rozliczenie spłaty pożyczki i zwolnienie zabezpieczeń </w:t>
      </w:r>
    </w:p>
    <w:p w14:paraId="06B6B641"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26</w:t>
      </w:r>
    </w:p>
    <w:p w14:paraId="2A7A8221"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FRW nie pobiera prowizji w przypadku wcześniejszej spłaty pożyczki.</w:t>
      </w:r>
    </w:p>
    <w:p w14:paraId="38DEED67" w14:textId="77777777" w:rsidR="0099050A" w:rsidRPr="0099050A" w:rsidRDefault="0099050A" w:rsidP="0099050A">
      <w:pPr>
        <w:autoSpaceDE w:val="0"/>
        <w:autoSpaceDN w:val="0"/>
        <w:adjustRightInd w:val="0"/>
        <w:spacing w:after="0"/>
        <w:rPr>
          <w:rFonts w:ascii="Times New Roman" w:eastAsia="Times New Roman" w:hAnsi="Times New Roman" w:cs="Times New Roman"/>
          <w:sz w:val="24"/>
          <w:szCs w:val="24"/>
          <w:lang w:eastAsia="pl-PL"/>
        </w:rPr>
      </w:pPr>
    </w:p>
    <w:p w14:paraId="5B4651D9"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27</w:t>
      </w:r>
    </w:p>
    <w:p w14:paraId="33BECBF9"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Ostatecznego rozliczenia spłaty pożyczki dokonuje się w terminie do 14 dni po zakończeniu spłaty pożyczki, powiadamiając na piśmie Pożyczkobiorcę o ewentualnych różnicach (nadpłata / niedopłata). </w:t>
      </w:r>
    </w:p>
    <w:p w14:paraId="39A3D6A4" w14:textId="77777777" w:rsidR="0099050A" w:rsidRPr="0099050A" w:rsidRDefault="0099050A" w:rsidP="0099050A">
      <w:pPr>
        <w:autoSpaceDE w:val="0"/>
        <w:autoSpaceDN w:val="0"/>
        <w:adjustRightInd w:val="0"/>
        <w:spacing w:after="0"/>
        <w:rPr>
          <w:rFonts w:ascii="Times New Roman" w:eastAsia="Times New Roman" w:hAnsi="Times New Roman" w:cs="Times New Roman"/>
          <w:sz w:val="24"/>
          <w:szCs w:val="24"/>
          <w:lang w:eastAsia="pl-PL"/>
        </w:rPr>
      </w:pPr>
    </w:p>
    <w:p w14:paraId="5D6E1A7B"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28</w:t>
      </w:r>
    </w:p>
    <w:p w14:paraId="63FAD6C5" w14:textId="77777777" w:rsidR="0099050A" w:rsidRPr="0099050A" w:rsidRDefault="0099050A" w:rsidP="0099050A">
      <w:pPr>
        <w:autoSpaceDE w:val="0"/>
        <w:autoSpaceDN w:val="0"/>
        <w:adjustRightInd w:val="0"/>
        <w:spacing w:after="0"/>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 xml:space="preserve">FRW zwalnia zabezpieczenia w terminie do 14 dni po rozliczeniu pożyczki. </w:t>
      </w:r>
    </w:p>
    <w:p w14:paraId="290E2799" w14:textId="77777777" w:rsidR="0099050A" w:rsidRPr="0099050A" w:rsidRDefault="0099050A" w:rsidP="0099050A">
      <w:pPr>
        <w:autoSpaceDE w:val="0"/>
        <w:autoSpaceDN w:val="0"/>
        <w:adjustRightInd w:val="0"/>
        <w:spacing w:after="240"/>
        <w:jc w:val="both"/>
        <w:rPr>
          <w:rFonts w:ascii="Times New Roman" w:eastAsia="Times New Roman" w:hAnsi="Times New Roman" w:cs="Times New Roman"/>
          <w:b/>
          <w:sz w:val="24"/>
          <w:szCs w:val="24"/>
          <w:lang w:eastAsia="pl-PL"/>
        </w:rPr>
      </w:pPr>
    </w:p>
    <w:p w14:paraId="1F11DEDE" w14:textId="77777777" w:rsidR="0099050A" w:rsidRPr="0099050A" w:rsidRDefault="0099050A" w:rsidP="0099050A">
      <w:pPr>
        <w:autoSpaceDE w:val="0"/>
        <w:autoSpaceDN w:val="0"/>
        <w:adjustRightInd w:val="0"/>
        <w:spacing w:after="0"/>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xml:space="preserve">Postanowienia końcowe </w:t>
      </w:r>
    </w:p>
    <w:p w14:paraId="0B9FACAA"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29</w:t>
      </w:r>
    </w:p>
    <w:p w14:paraId="07AFAA36"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szCs w:val="24"/>
          <w:lang w:eastAsia="pl-PL"/>
        </w:rPr>
        <w:t>Spory spowodowane działaniami Pożyczkobiorcy wbrew niniejszemu Regulaminowi i Umowie Pożyczki poddaje się pod rozstrzygnięcie Sądu powszechnego właściwego dla siedziby FRW.</w:t>
      </w:r>
    </w:p>
    <w:p w14:paraId="792192C9"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p>
    <w:p w14:paraId="18091991" w14:textId="77777777" w:rsidR="0099050A" w:rsidRPr="0099050A" w:rsidRDefault="0099050A" w:rsidP="0099050A">
      <w:pPr>
        <w:autoSpaceDE w:val="0"/>
        <w:autoSpaceDN w:val="0"/>
        <w:adjustRightInd w:val="0"/>
        <w:spacing w:after="0"/>
        <w:jc w:val="center"/>
        <w:rPr>
          <w:rFonts w:ascii="Times New Roman" w:eastAsia="Times New Roman" w:hAnsi="Times New Roman" w:cs="Times New Roman"/>
          <w:b/>
          <w:bCs/>
          <w:sz w:val="24"/>
          <w:szCs w:val="24"/>
          <w:lang w:eastAsia="pl-PL"/>
        </w:rPr>
      </w:pPr>
      <w:r w:rsidRPr="0099050A">
        <w:rPr>
          <w:rFonts w:ascii="Times New Roman" w:eastAsia="Times New Roman" w:hAnsi="Times New Roman" w:cs="Times New Roman"/>
          <w:b/>
          <w:bCs/>
          <w:sz w:val="24"/>
          <w:szCs w:val="24"/>
          <w:lang w:eastAsia="pl-PL"/>
        </w:rPr>
        <w:t>§ 30</w:t>
      </w:r>
    </w:p>
    <w:p w14:paraId="30267C8F" w14:textId="77777777" w:rsidR="0099050A" w:rsidRPr="0099050A" w:rsidRDefault="0099050A" w:rsidP="0099050A">
      <w:pPr>
        <w:autoSpaceDE w:val="0"/>
        <w:autoSpaceDN w:val="0"/>
        <w:adjustRightInd w:val="0"/>
        <w:spacing w:after="0"/>
        <w:jc w:val="both"/>
        <w:rPr>
          <w:rFonts w:ascii="Times New Roman" w:eastAsia="Times New Roman" w:hAnsi="Times New Roman" w:cs="Times New Roman"/>
          <w:sz w:val="24"/>
          <w:szCs w:val="24"/>
          <w:lang w:eastAsia="pl-PL"/>
        </w:rPr>
      </w:pPr>
      <w:r w:rsidRPr="0099050A">
        <w:rPr>
          <w:rFonts w:ascii="Times New Roman" w:eastAsia="Times New Roman" w:hAnsi="Times New Roman" w:cs="Times New Roman"/>
          <w:sz w:val="24"/>
          <w:lang w:eastAsia="pl-PL"/>
        </w:rPr>
        <w:t>Warunki udzielania PU, które nie zostały określone w niniejszym Regulaminie, precyzuje każdorazowo Umowa Pożyczki.</w:t>
      </w:r>
    </w:p>
    <w:p w14:paraId="66BEA441" w14:textId="7E90FD92" w:rsidR="00604A72" w:rsidRDefault="00604A72" w:rsidP="0099050A"/>
    <w:p w14:paraId="1B5CBABC" w14:textId="4F7478F7" w:rsidR="0099050A" w:rsidRDefault="0099050A" w:rsidP="0099050A"/>
    <w:p w14:paraId="42517E30" w14:textId="4B62C4D7" w:rsidR="0099050A" w:rsidRDefault="0099050A" w:rsidP="0099050A"/>
    <w:p w14:paraId="30A3C854" w14:textId="2EC13D84" w:rsidR="0099050A" w:rsidRPr="0099050A" w:rsidRDefault="0099050A" w:rsidP="0099050A">
      <w:pPr>
        <w:rPr>
          <w:rFonts w:ascii="Times New Roman" w:hAnsi="Times New Roman" w:cs="Times New Roman"/>
          <w:sz w:val="24"/>
          <w:szCs w:val="24"/>
        </w:rPr>
      </w:pPr>
      <w:r w:rsidRPr="0099050A">
        <w:rPr>
          <w:rFonts w:ascii="Times New Roman" w:hAnsi="Times New Roman" w:cs="Times New Roman"/>
          <w:sz w:val="24"/>
          <w:szCs w:val="24"/>
        </w:rPr>
        <w:t xml:space="preserve">Wałbrzych, 19 kwietnia 2022 r. </w:t>
      </w:r>
    </w:p>
    <w:sectPr w:rsidR="0099050A" w:rsidRPr="0099050A" w:rsidSect="00310F13">
      <w:headerReference w:type="even" r:id="rId8"/>
      <w:headerReference w:type="default" r:id="rId9"/>
      <w:footerReference w:type="default" r:id="rId10"/>
      <w:headerReference w:type="first" r:id="rId11"/>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ECC4" w14:textId="77777777" w:rsidR="00F36D3C" w:rsidRDefault="00F36D3C" w:rsidP="004C1E35">
      <w:pPr>
        <w:spacing w:after="0" w:line="240" w:lineRule="auto"/>
      </w:pPr>
      <w:r>
        <w:separator/>
      </w:r>
    </w:p>
  </w:endnote>
  <w:endnote w:type="continuationSeparator" w:id="0">
    <w:p w14:paraId="1CE61857" w14:textId="77777777" w:rsidR="00F36D3C" w:rsidRDefault="00F36D3C"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7EDABEED" w:rsidR="00503D75" w:rsidRDefault="00E301A5" w:rsidP="009A521F">
    <w:pPr>
      <w:pStyle w:val="Stopka"/>
      <w:tabs>
        <w:tab w:val="clear" w:pos="4536"/>
        <w:tab w:val="clear" w:pos="9072"/>
        <w:tab w:val="left" w:pos="3698"/>
      </w:tabs>
    </w:pPr>
    <w:r>
      <w:rPr>
        <w:noProof/>
      </w:rPr>
      <w:drawing>
        <wp:inline distT="0" distB="0" distL="0" distR="0" wp14:anchorId="28DB7EB0" wp14:editId="7FEEE5D7">
          <wp:extent cx="6188710" cy="908888"/>
          <wp:effectExtent l="0" t="0" r="2540" b="571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08888"/>
                  </a:xfrm>
                  <a:prstGeom prst="rect">
                    <a:avLst/>
                  </a:prstGeom>
                  <a:noFill/>
                </pic:spPr>
              </pic:pic>
            </a:graphicData>
          </a:graphic>
        </wp:inline>
      </w:drawing>
    </w:r>
    <w:r w:rsidR="009A521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4D8CF" w14:textId="77777777" w:rsidR="00F36D3C" w:rsidRDefault="00F36D3C" w:rsidP="004C1E35">
      <w:pPr>
        <w:spacing w:after="0" w:line="240" w:lineRule="auto"/>
      </w:pPr>
      <w:r>
        <w:separator/>
      </w:r>
    </w:p>
  </w:footnote>
  <w:footnote w:type="continuationSeparator" w:id="0">
    <w:p w14:paraId="339D4ED2" w14:textId="77777777" w:rsidR="00F36D3C" w:rsidRDefault="00F36D3C" w:rsidP="004C1E35">
      <w:pPr>
        <w:spacing w:after="0" w:line="240" w:lineRule="auto"/>
      </w:pPr>
      <w:r>
        <w:continuationSeparator/>
      </w:r>
    </w:p>
  </w:footnote>
  <w:footnote w:id="1">
    <w:p w14:paraId="4F854C38" w14:textId="77777777" w:rsidR="0099050A" w:rsidRDefault="0099050A" w:rsidP="0099050A">
      <w:pPr>
        <w:pStyle w:val="Tekstprzypisudolnego"/>
      </w:pPr>
      <w:r>
        <w:rPr>
          <w:rStyle w:val="Odwoanieprzypisudolnego"/>
        </w:rPr>
        <w:footnoteRef/>
      </w:r>
      <w:r>
        <w:t xml:space="preserve"> </w:t>
      </w:r>
      <w:r w:rsidRPr="00DD47B2">
        <w:t xml:space="preserve">stopa bazowa jest ogłaszana przez Komisję Europejską. Aktualna wysokość stopy bazowej dla Polski publikowana jest na stronie Komisji Europejskiej (http://ec.europa.eu/competition/ </w:t>
      </w:r>
      <w:proofErr w:type="spellStart"/>
      <w:r w:rsidRPr="00DD47B2">
        <w:t>state_aid</w:t>
      </w:r>
      <w:proofErr w:type="spellEnd"/>
      <w:r w:rsidRPr="00DD47B2">
        <w:t>/</w:t>
      </w:r>
      <w:proofErr w:type="spellStart"/>
      <w:r w:rsidRPr="00DD47B2">
        <w:t>legislation</w:t>
      </w:r>
      <w:proofErr w:type="spellEnd"/>
      <w:r w:rsidRPr="00DD47B2">
        <w:t>/reference_rates.html) oraz Urzędu Ochrony Konkurencji i Konsumentów (https://www.uokik.gov.pl/stopa_referencyjna_i_archiwum.php).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F36D3C">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148B0D78" w:rsidR="00A400ED" w:rsidRDefault="00E301A5">
    <w:pPr>
      <w:pStyle w:val="Nagwek"/>
    </w:pPr>
    <w:r>
      <w:rPr>
        <w:noProof/>
      </w:rPr>
      <w:drawing>
        <wp:anchor distT="0" distB="0" distL="114300" distR="114300" simplePos="0" relativeHeight="251663360" behindDoc="0" locked="0" layoutInCell="1" allowOverlap="1" wp14:anchorId="35906659" wp14:editId="1A8934F4">
          <wp:simplePos x="0" y="0"/>
          <wp:positionH relativeFrom="margin">
            <wp:align>left</wp:align>
          </wp:positionH>
          <wp:positionV relativeFrom="paragraph">
            <wp:posOffset>169545</wp:posOffset>
          </wp:positionV>
          <wp:extent cx="5760085" cy="381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F36D3C">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D10"/>
    <w:multiLevelType w:val="hybridMultilevel"/>
    <w:tmpl w:val="E74CE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97F66"/>
    <w:multiLevelType w:val="hybridMultilevel"/>
    <w:tmpl w:val="637E60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9C548D"/>
    <w:multiLevelType w:val="hybridMultilevel"/>
    <w:tmpl w:val="0BBC88A0"/>
    <w:lvl w:ilvl="0" w:tplc="ACC0CD08">
      <w:start w:val="1"/>
      <w:numFmt w:val="decimal"/>
      <w:lvlText w:val="%1."/>
      <w:lvlJc w:val="left"/>
      <w:pPr>
        <w:ind w:left="720" w:hanging="360"/>
      </w:pPr>
      <w:rPr>
        <w:rFonts w:hint="default"/>
        <w:b w:val="0"/>
      </w:rPr>
    </w:lvl>
    <w:lvl w:ilvl="1" w:tplc="CA2812FA">
      <w:start w:val="1"/>
      <w:numFmt w:val="lowerLetter"/>
      <w:lvlText w:val="%2)"/>
      <w:lvlJc w:val="left"/>
      <w:pPr>
        <w:ind w:left="1440" w:hanging="360"/>
      </w:pPr>
      <w:rPr>
        <w:rFonts w:hint="default"/>
      </w:rPr>
    </w:lvl>
    <w:lvl w:ilvl="2" w:tplc="0D68D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B21A3"/>
    <w:multiLevelType w:val="hybridMultilevel"/>
    <w:tmpl w:val="4B987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D77B9E"/>
    <w:multiLevelType w:val="hybridMultilevel"/>
    <w:tmpl w:val="ACE2D02C"/>
    <w:lvl w:ilvl="0" w:tplc="5ADAE2CC">
      <w:start w:val="1"/>
      <w:numFmt w:val="ordinal"/>
      <w:lvlText w:val="%1"/>
      <w:lvlJc w:val="left"/>
      <w:pPr>
        <w:ind w:left="360" w:hanging="360"/>
      </w:pPr>
      <w:rPr>
        <w:rFonts w:hint="default"/>
        <w:b w:val="0"/>
      </w:rPr>
    </w:lvl>
    <w:lvl w:ilvl="1" w:tplc="6C44057A">
      <w:start w:val="1"/>
      <w:numFmt w:val="lowerLetter"/>
      <w:lvlText w:val="%2)"/>
      <w:lvlJc w:val="left"/>
      <w:pPr>
        <w:ind w:left="1080" w:hanging="360"/>
      </w:pPr>
      <w:rPr>
        <w:rFonts w:hint="default"/>
      </w:rPr>
    </w:lvl>
    <w:lvl w:ilvl="2" w:tplc="12CCA3F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7C41CE"/>
    <w:multiLevelType w:val="hybridMultilevel"/>
    <w:tmpl w:val="719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9401AF"/>
    <w:multiLevelType w:val="hybridMultilevel"/>
    <w:tmpl w:val="8BACBDE6"/>
    <w:lvl w:ilvl="0" w:tplc="FFFFFFFF">
      <w:start w:val="1"/>
      <w:numFmt w:val="upperRoman"/>
      <w:lvlText w:val="%1"/>
      <w:lvlJc w:val="left"/>
    </w:lvl>
    <w:lvl w:ilvl="1" w:tplc="FFFFFFFF">
      <w:start w:val="1"/>
      <w:numFmt w:val="ideographDigital"/>
      <w:lvlText w:val=""/>
      <w:lvlJc w:val="left"/>
    </w:lvl>
    <w:lvl w:ilvl="2" w:tplc="04150017">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8D704F"/>
    <w:multiLevelType w:val="hybridMultilevel"/>
    <w:tmpl w:val="6136BB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156903"/>
    <w:multiLevelType w:val="hybridMultilevel"/>
    <w:tmpl w:val="6136BB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574ED4"/>
    <w:multiLevelType w:val="hybridMultilevel"/>
    <w:tmpl w:val="BAEED6B4"/>
    <w:lvl w:ilvl="0" w:tplc="5ADAE2CC">
      <w:start w:val="1"/>
      <w:numFmt w:val="ordinal"/>
      <w:lvlText w:val="%1"/>
      <w:lvlJc w:val="left"/>
      <w:pPr>
        <w:ind w:left="360" w:hanging="360"/>
      </w:pPr>
      <w:rPr>
        <w:rFonts w:hint="default"/>
        <w:b w:val="0"/>
      </w:rPr>
    </w:lvl>
    <w:lvl w:ilvl="1" w:tplc="04150017">
      <w:start w:val="1"/>
      <w:numFmt w:val="lowerLetter"/>
      <w:lvlText w:val="%2)"/>
      <w:lvlJc w:val="left"/>
      <w:pPr>
        <w:ind w:left="-132" w:hanging="360"/>
      </w:pPr>
      <w:rPr>
        <w:rFonts w:hint="default"/>
      </w:rPr>
    </w:lvl>
    <w:lvl w:ilvl="2" w:tplc="12CCA3F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49637E"/>
    <w:multiLevelType w:val="multilevel"/>
    <w:tmpl w:val="F57ACA38"/>
    <w:lvl w:ilvl="0">
      <w:start w:val="1"/>
      <w:numFmt w:val="decimal"/>
      <w:lvlText w:val="%1."/>
      <w:lvlJc w:val="left"/>
      <w:pPr>
        <w:ind w:left="720" w:hanging="360"/>
      </w:pPr>
      <w:rPr>
        <w:rFonts w:hint="default"/>
        <w:b w:val="0"/>
        <w:i w:val="0"/>
        <w:color w:val="auto"/>
        <w:sz w:val="24"/>
        <w:szCs w:val="24"/>
      </w:rPr>
    </w:lvl>
    <w:lvl w:ilvl="1">
      <w:start w:val="1"/>
      <w:numFmt w:val="lowerLetter"/>
      <w:lvlText w:val="%2)"/>
      <w:lvlJc w:val="left"/>
      <w:pPr>
        <w:tabs>
          <w:tab w:val="num" w:pos="796"/>
        </w:tabs>
        <w:ind w:left="796" w:hanging="360"/>
      </w:pPr>
    </w:lvl>
    <w:lvl w:ilvl="2">
      <w:start w:val="1"/>
      <w:numFmt w:val="lowerLetter"/>
      <w:lvlText w:val="%3)"/>
      <w:lvlJc w:val="left"/>
      <w:pPr>
        <w:tabs>
          <w:tab w:val="num" w:pos="1156"/>
        </w:tabs>
        <w:ind w:left="1156" w:hanging="360"/>
      </w:pPr>
      <w:rPr>
        <w:sz w:val="16"/>
        <w:szCs w:val="16"/>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1" w15:restartNumberingAfterBreak="0">
    <w:nsid w:val="374937C9"/>
    <w:multiLevelType w:val="hybridMultilevel"/>
    <w:tmpl w:val="ABFA00F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A405644"/>
    <w:multiLevelType w:val="hybridMultilevel"/>
    <w:tmpl w:val="26781CCE"/>
    <w:lvl w:ilvl="0" w:tplc="0415000F">
      <w:start w:val="1"/>
      <w:numFmt w:val="decimal"/>
      <w:lvlText w:val="%1."/>
      <w:lvlJc w:val="left"/>
      <w:pPr>
        <w:ind w:left="720" w:hanging="360"/>
      </w:pPr>
      <w:rPr>
        <w:rFonts w:hint="default"/>
      </w:rPr>
    </w:lvl>
    <w:lvl w:ilvl="1" w:tplc="509A8FE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7017E8"/>
    <w:multiLevelType w:val="hybridMultilevel"/>
    <w:tmpl w:val="719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8B54E1"/>
    <w:multiLevelType w:val="hybridMultilevel"/>
    <w:tmpl w:val="24BED494"/>
    <w:lvl w:ilvl="0" w:tplc="04150017">
      <w:start w:val="1"/>
      <w:numFmt w:val="lowerLetter"/>
      <w:lvlText w:val="%1)"/>
      <w:lvlJc w:val="left"/>
      <w:pPr>
        <w:ind w:left="720" w:hanging="360"/>
      </w:pPr>
      <w:rPr>
        <w:rFonts w:hint="default"/>
        <w:b w:val="0"/>
      </w:rPr>
    </w:lvl>
    <w:lvl w:ilvl="1" w:tplc="CA2812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72E22"/>
    <w:multiLevelType w:val="hybridMultilevel"/>
    <w:tmpl w:val="264A5C3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45946EB5"/>
    <w:multiLevelType w:val="hybridMultilevel"/>
    <w:tmpl w:val="142A1576"/>
    <w:lvl w:ilvl="0" w:tplc="ACC0CD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EC0110"/>
    <w:multiLevelType w:val="hybridMultilevel"/>
    <w:tmpl w:val="F7A03662"/>
    <w:lvl w:ilvl="0" w:tplc="04150017">
      <w:start w:val="1"/>
      <w:numFmt w:val="lowerLetter"/>
      <w:lvlText w:val="%1)"/>
      <w:lvlJc w:val="left"/>
      <w:pPr>
        <w:ind w:left="720" w:hanging="360"/>
      </w:pPr>
    </w:lvl>
    <w:lvl w:ilvl="1" w:tplc="04150011">
      <w:start w:val="1"/>
      <w:numFmt w:val="decimal"/>
      <w:lvlText w:val="%2)"/>
      <w:lvlJc w:val="left"/>
      <w:pPr>
        <w:ind w:left="-13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A10E17"/>
    <w:multiLevelType w:val="hybridMultilevel"/>
    <w:tmpl w:val="17AA1822"/>
    <w:lvl w:ilvl="0" w:tplc="ACC0CD08">
      <w:start w:val="1"/>
      <w:numFmt w:val="decimal"/>
      <w:lvlText w:val="%1."/>
      <w:lvlJc w:val="left"/>
      <w:pPr>
        <w:ind w:left="720" w:hanging="360"/>
      </w:pPr>
      <w:rPr>
        <w:rFonts w:hint="default"/>
      </w:rPr>
    </w:lvl>
    <w:lvl w:ilvl="1" w:tplc="D82485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C6935"/>
    <w:multiLevelType w:val="hybridMultilevel"/>
    <w:tmpl w:val="D9BCAC9A"/>
    <w:lvl w:ilvl="0" w:tplc="04150017">
      <w:start w:val="1"/>
      <w:numFmt w:val="lowerLetter"/>
      <w:lvlText w:val="%1)"/>
      <w:lvlJc w:val="left"/>
      <w:pPr>
        <w:ind w:left="1854" w:hanging="360"/>
      </w:pPr>
    </w:lvl>
    <w:lvl w:ilvl="1" w:tplc="04150017">
      <w:start w:val="1"/>
      <w:numFmt w:val="lowerLetter"/>
      <w:lvlText w:val="%2)"/>
      <w:lvlJc w:val="left"/>
      <w:pPr>
        <w:ind w:left="-132"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5DBC3720"/>
    <w:multiLevelType w:val="hybridMultilevel"/>
    <w:tmpl w:val="43F43594"/>
    <w:lvl w:ilvl="0" w:tplc="E9DE8364">
      <w:start w:val="1"/>
      <w:numFmt w:val="decimal"/>
      <w:lvlText w:val="%1."/>
      <w:lvlJc w:val="left"/>
      <w:pPr>
        <w:tabs>
          <w:tab w:val="num" w:pos="397"/>
        </w:tabs>
        <w:ind w:left="397"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221197"/>
    <w:multiLevelType w:val="hybridMultilevel"/>
    <w:tmpl w:val="DC809F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2117ACF"/>
    <w:multiLevelType w:val="hybridMultilevel"/>
    <w:tmpl w:val="6F020D74"/>
    <w:lvl w:ilvl="0" w:tplc="2B4C5E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43A6F"/>
    <w:multiLevelType w:val="hybridMultilevel"/>
    <w:tmpl w:val="2EFE1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6C5410"/>
    <w:multiLevelType w:val="hybridMultilevel"/>
    <w:tmpl w:val="719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87F0127"/>
    <w:multiLevelType w:val="multilevel"/>
    <w:tmpl w:val="90347D6E"/>
    <w:lvl w:ilvl="0">
      <w:start w:val="1"/>
      <w:numFmt w:val="decimal"/>
      <w:lvlText w:val="%1."/>
      <w:lvlJc w:val="left"/>
      <w:pPr>
        <w:ind w:left="720" w:hanging="360"/>
      </w:pPr>
      <w:rPr>
        <w:rFonts w:hint="default"/>
        <w:b w:val="0"/>
        <w:i w:val="0"/>
        <w:color w:val="auto"/>
        <w:sz w:val="24"/>
        <w:szCs w:val="22"/>
      </w:rPr>
    </w:lvl>
    <w:lvl w:ilvl="1">
      <w:start w:val="1"/>
      <w:numFmt w:val="lowerLetter"/>
      <w:lvlText w:val="%2)"/>
      <w:lvlJc w:val="left"/>
      <w:pPr>
        <w:tabs>
          <w:tab w:val="num" w:pos="796"/>
        </w:tabs>
        <w:ind w:left="796" w:hanging="360"/>
      </w:pPr>
      <w:rPr>
        <w:rFonts w:hint="default"/>
      </w:rPr>
    </w:lvl>
    <w:lvl w:ilvl="2">
      <w:start w:val="1"/>
      <w:numFmt w:val="lowerLetter"/>
      <w:lvlText w:val="%3)"/>
      <w:lvlJc w:val="left"/>
      <w:pPr>
        <w:tabs>
          <w:tab w:val="num" w:pos="1156"/>
        </w:tabs>
        <w:ind w:left="1156" w:hanging="360"/>
      </w:pPr>
      <w:rPr>
        <w:rFonts w:hint="default"/>
        <w:sz w:val="16"/>
        <w:szCs w:val="16"/>
      </w:rPr>
    </w:lvl>
    <w:lvl w:ilvl="3">
      <w:start w:val="1"/>
      <w:numFmt w:val="bullet"/>
      <w:lvlText w:val=""/>
      <w:lvlJc w:val="left"/>
      <w:pPr>
        <w:tabs>
          <w:tab w:val="num" w:pos="1516"/>
        </w:tabs>
        <w:ind w:left="1516" w:hanging="360"/>
      </w:pPr>
      <w:rPr>
        <w:rFonts w:ascii="Symbol" w:hAnsi="Symbol" w:hint="default"/>
      </w:rPr>
    </w:lvl>
    <w:lvl w:ilvl="4">
      <w:start w:val="1"/>
      <w:numFmt w:val="lowerLetter"/>
      <w:lvlText w:val="(%5)"/>
      <w:lvlJc w:val="left"/>
      <w:pPr>
        <w:tabs>
          <w:tab w:val="num" w:pos="1876"/>
        </w:tabs>
        <w:ind w:left="1876" w:hanging="360"/>
      </w:pPr>
      <w:rPr>
        <w:rFonts w:hint="default"/>
      </w:rPr>
    </w:lvl>
    <w:lvl w:ilvl="5">
      <w:start w:val="1"/>
      <w:numFmt w:val="lowerRoman"/>
      <w:lvlText w:val="(%6)"/>
      <w:lvlJc w:val="left"/>
      <w:pPr>
        <w:tabs>
          <w:tab w:val="num" w:pos="2236"/>
        </w:tabs>
        <w:ind w:left="2236" w:hanging="360"/>
      </w:pPr>
      <w:rPr>
        <w:rFonts w:hint="default"/>
      </w:rPr>
    </w:lvl>
    <w:lvl w:ilvl="6">
      <w:start w:val="1"/>
      <w:numFmt w:val="decimal"/>
      <w:lvlText w:val="%7."/>
      <w:lvlJc w:val="left"/>
      <w:pPr>
        <w:tabs>
          <w:tab w:val="num" w:pos="2596"/>
        </w:tabs>
        <w:ind w:left="2596" w:hanging="360"/>
      </w:pPr>
      <w:rPr>
        <w:rFonts w:hint="default"/>
      </w:rPr>
    </w:lvl>
    <w:lvl w:ilvl="7">
      <w:start w:val="1"/>
      <w:numFmt w:val="decimal"/>
      <w:lvlText w:val="%8)"/>
      <w:lvlJc w:val="left"/>
      <w:pPr>
        <w:ind w:left="2956" w:hanging="360"/>
      </w:pPr>
      <w:rPr>
        <w:rFonts w:hint="default"/>
      </w:rPr>
    </w:lvl>
    <w:lvl w:ilvl="8">
      <w:start w:val="1"/>
      <w:numFmt w:val="bullet"/>
      <w:lvlText w:val=""/>
      <w:lvlJc w:val="left"/>
      <w:pPr>
        <w:ind w:left="3316" w:hanging="360"/>
      </w:pPr>
      <w:rPr>
        <w:rFonts w:ascii="Symbol" w:hAnsi="Symbol" w:hint="default"/>
      </w:rPr>
    </w:lvl>
  </w:abstractNum>
  <w:abstractNum w:abstractNumId="26" w15:restartNumberingAfterBreak="0">
    <w:nsid w:val="7AB42F04"/>
    <w:multiLevelType w:val="multilevel"/>
    <w:tmpl w:val="90347D6E"/>
    <w:lvl w:ilvl="0">
      <w:start w:val="1"/>
      <w:numFmt w:val="decimal"/>
      <w:lvlText w:val="%1."/>
      <w:lvlJc w:val="left"/>
      <w:pPr>
        <w:ind w:left="720" w:hanging="360"/>
      </w:pPr>
      <w:rPr>
        <w:rFonts w:hint="default"/>
        <w:b w:val="0"/>
        <w:i w:val="0"/>
        <w:color w:val="auto"/>
        <w:sz w:val="24"/>
        <w:szCs w:val="22"/>
      </w:rPr>
    </w:lvl>
    <w:lvl w:ilvl="1">
      <w:start w:val="1"/>
      <w:numFmt w:val="lowerLetter"/>
      <w:lvlText w:val="%2)"/>
      <w:lvlJc w:val="left"/>
      <w:pPr>
        <w:tabs>
          <w:tab w:val="num" w:pos="796"/>
        </w:tabs>
        <w:ind w:left="796" w:hanging="360"/>
      </w:pPr>
      <w:rPr>
        <w:rFonts w:hint="default"/>
      </w:rPr>
    </w:lvl>
    <w:lvl w:ilvl="2">
      <w:start w:val="1"/>
      <w:numFmt w:val="lowerLetter"/>
      <w:lvlText w:val="%3)"/>
      <w:lvlJc w:val="left"/>
      <w:pPr>
        <w:tabs>
          <w:tab w:val="num" w:pos="1156"/>
        </w:tabs>
        <w:ind w:left="1156" w:hanging="360"/>
      </w:pPr>
      <w:rPr>
        <w:rFonts w:hint="default"/>
        <w:sz w:val="16"/>
        <w:szCs w:val="16"/>
      </w:rPr>
    </w:lvl>
    <w:lvl w:ilvl="3">
      <w:start w:val="1"/>
      <w:numFmt w:val="bullet"/>
      <w:lvlText w:val=""/>
      <w:lvlJc w:val="left"/>
      <w:pPr>
        <w:tabs>
          <w:tab w:val="num" w:pos="1516"/>
        </w:tabs>
        <w:ind w:left="1516" w:hanging="360"/>
      </w:pPr>
      <w:rPr>
        <w:rFonts w:ascii="Symbol" w:hAnsi="Symbol" w:hint="default"/>
      </w:rPr>
    </w:lvl>
    <w:lvl w:ilvl="4">
      <w:start w:val="1"/>
      <w:numFmt w:val="lowerLetter"/>
      <w:lvlText w:val="(%5)"/>
      <w:lvlJc w:val="left"/>
      <w:pPr>
        <w:tabs>
          <w:tab w:val="num" w:pos="1876"/>
        </w:tabs>
        <w:ind w:left="1876" w:hanging="360"/>
      </w:pPr>
      <w:rPr>
        <w:rFonts w:hint="default"/>
      </w:rPr>
    </w:lvl>
    <w:lvl w:ilvl="5">
      <w:start w:val="1"/>
      <w:numFmt w:val="lowerRoman"/>
      <w:lvlText w:val="(%6)"/>
      <w:lvlJc w:val="left"/>
      <w:pPr>
        <w:tabs>
          <w:tab w:val="num" w:pos="2236"/>
        </w:tabs>
        <w:ind w:left="2236" w:hanging="360"/>
      </w:pPr>
      <w:rPr>
        <w:rFonts w:hint="default"/>
      </w:rPr>
    </w:lvl>
    <w:lvl w:ilvl="6">
      <w:start w:val="1"/>
      <w:numFmt w:val="decimal"/>
      <w:lvlText w:val="%7."/>
      <w:lvlJc w:val="left"/>
      <w:pPr>
        <w:tabs>
          <w:tab w:val="num" w:pos="2596"/>
        </w:tabs>
        <w:ind w:left="2596" w:hanging="360"/>
      </w:pPr>
      <w:rPr>
        <w:rFonts w:hint="default"/>
      </w:rPr>
    </w:lvl>
    <w:lvl w:ilvl="7">
      <w:start w:val="1"/>
      <w:numFmt w:val="decimal"/>
      <w:lvlText w:val="%8)"/>
      <w:lvlJc w:val="left"/>
      <w:pPr>
        <w:ind w:left="2956" w:hanging="360"/>
      </w:pPr>
      <w:rPr>
        <w:rFonts w:hint="default"/>
      </w:rPr>
    </w:lvl>
    <w:lvl w:ilvl="8">
      <w:start w:val="1"/>
      <w:numFmt w:val="bullet"/>
      <w:lvlText w:val=""/>
      <w:lvlJc w:val="left"/>
      <w:pPr>
        <w:ind w:left="3316" w:hanging="360"/>
      </w:pPr>
      <w:rPr>
        <w:rFonts w:ascii="Symbol" w:hAnsi="Symbol" w:hint="default"/>
      </w:rPr>
    </w:lvl>
  </w:abstractNum>
  <w:abstractNum w:abstractNumId="27" w15:restartNumberingAfterBreak="0">
    <w:nsid w:val="7E054C75"/>
    <w:multiLevelType w:val="hybridMultilevel"/>
    <w:tmpl w:val="283869B2"/>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4"/>
  </w:num>
  <w:num w:numId="5">
    <w:abstractNumId w:val="18"/>
  </w:num>
  <w:num w:numId="6">
    <w:abstractNumId w:val="10"/>
  </w:num>
  <w:num w:numId="7">
    <w:abstractNumId w:val="25"/>
  </w:num>
  <w:num w:numId="8">
    <w:abstractNumId w:val="19"/>
  </w:num>
  <w:num w:numId="9">
    <w:abstractNumId w:val="9"/>
  </w:num>
  <w:num w:numId="10">
    <w:abstractNumId w:val="13"/>
  </w:num>
  <w:num w:numId="11">
    <w:abstractNumId w:val="27"/>
  </w:num>
  <w:num w:numId="12">
    <w:abstractNumId w:val="12"/>
  </w:num>
  <w:num w:numId="13">
    <w:abstractNumId w:val="22"/>
  </w:num>
  <w:num w:numId="14">
    <w:abstractNumId w:val="2"/>
  </w:num>
  <w:num w:numId="15">
    <w:abstractNumId w:val="7"/>
  </w:num>
  <w:num w:numId="16">
    <w:abstractNumId w:val="8"/>
  </w:num>
  <w:num w:numId="17">
    <w:abstractNumId w:val="26"/>
  </w:num>
  <w:num w:numId="18">
    <w:abstractNumId w:val="17"/>
  </w:num>
  <w:num w:numId="19">
    <w:abstractNumId w:val="0"/>
  </w:num>
  <w:num w:numId="20">
    <w:abstractNumId w:val="11"/>
  </w:num>
  <w:num w:numId="21">
    <w:abstractNumId w:val="15"/>
  </w:num>
  <w:num w:numId="22">
    <w:abstractNumId w:val="14"/>
  </w:num>
  <w:num w:numId="23">
    <w:abstractNumId w:val="1"/>
  </w:num>
  <w:num w:numId="24">
    <w:abstractNumId w:val="3"/>
  </w:num>
  <w:num w:numId="25">
    <w:abstractNumId w:val="5"/>
  </w:num>
  <w:num w:numId="26">
    <w:abstractNumId w:val="6"/>
  </w:num>
  <w:num w:numId="27">
    <w:abstractNumId w:val="24"/>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03145"/>
    <w:rsid w:val="000757BD"/>
    <w:rsid w:val="00076737"/>
    <w:rsid w:val="000967F5"/>
    <w:rsid w:val="000A57B3"/>
    <w:rsid w:val="000B0172"/>
    <w:rsid w:val="000B7290"/>
    <w:rsid w:val="000C10F5"/>
    <w:rsid w:val="000C4740"/>
    <w:rsid w:val="000C704B"/>
    <w:rsid w:val="000D5037"/>
    <w:rsid w:val="001107C5"/>
    <w:rsid w:val="001270A8"/>
    <w:rsid w:val="001358B0"/>
    <w:rsid w:val="00136E83"/>
    <w:rsid w:val="00142C4C"/>
    <w:rsid w:val="00151C9C"/>
    <w:rsid w:val="001609C0"/>
    <w:rsid w:val="001614D1"/>
    <w:rsid w:val="00175277"/>
    <w:rsid w:val="0018460F"/>
    <w:rsid w:val="001862AD"/>
    <w:rsid w:val="001A25FF"/>
    <w:rsid w:val="001A4D13"/>
    <w:rsid w:val="001D31FE"/>
    <w:rsid w:val="001D75A6"/>
    <w:rsid w:val="001E0080"/>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4F73"/>
    <w:rsid w:val="00295F08"/>
    <w:rsid w:val="00296D6D"/>
    <w:rsid w:val="002A4085"/>
    <w:rsid w:val="002B62DF"/>
    <w:rsid w:val="002B7721"/>
    <w:rsid w:val="002D5F81"/>
    <w:rsid w:val="002E1D2C"/>
    <w:rsid w:val="00307F79"/>
    <w:rsid w:val="00310F13"/>
    <w:rsid w:val="00313EC4"/>
    <w:rsid w:val="003171EA"/>
    <w:rsid w:val="00335AAC"/>
    <w:rsid w:val="0034425C"/>
    <w:rsid w:val="003552AA"/>
    <w:rsid w:val="0037007C"/>
    <w:rsid w:val="00373A41"/>
    <w:rsid w:val="00387585"/>
    <w:rsid w:val="0039149C"/>
    <w:rsid w:val="00391D38"/>
    <w:rsid w:val="003930E4"/>
    <w:rsid w:val="003932A6"/>
    <w:rsid w:val="003A450B"/>
    <w:rsid w:val="003B32D6"/>
    <w:rsid w:val="003C305A"/>
    <w:rsid w:val="003D46F5"/>
    <w:rsid w:val="003F1FC7"/>
    <w:rsid w:val="003F3BAD"/>
    <w:rsid w:val="003F49BE"/>
    <w:rsid w:val="003F7040"/>
    <w:rsid w:val="004001D7"/>
    <w:rsid w:val="00402A72"/>
    <w:rsid w:val="00402CD1"/>
    <w:rsid w:val="00406C10"/>
    <w:rsid w:val="00415BF7"/>
    <w:rsid w:val="0043320D"/>
    <w:rsid w:val="00441C37"/>
    <w:rsid w:val="0045174E"/>
    <w:rsid w:val="00455873"/>
    <w:rsid w:val="00474DDA"/>
    <w:rsid w:val="004836DF"/>
    <w:rsid w:val="004920BB"/>
    <w:rsid w:val="004A2699"/>
    <w:rsid w:val="004A4DBA"/>
    <w:rsid w:val="004C1E35"/>
    <w:rsid w:val="004C67F5"/>
    <w:rsid w:val="004D5C57"/>
    <w:rsid w:val="00503D75"/>
    <w:rsid w:val="00514027"/>
    <w:rsid w:val="00516AD3"/>
    <w:rsid w:val="005264A9"/>
    <w:rsid w:val="00533BAA"/>
    <w:rsid w:val="005436E4"/>
    <w:rsid w:val="0055782E"/>
    <w:rsid w:val="00560764"/>
    <w:rsid w:val="005635E5"/>
    <w:rsid w:val="005657BC"/>
    <w:rsid w:val="0056734E"/>
    <w:rsid w:val="005705A1"/>
    <w:rsid w:val="005829A9"/>
    <w:rsid w:val="005840B8"/>
    <w:rsid w:val="005B58D8"/>
    <w:rsid w:val="005C0EAD"/>
    <w:rsid w:val="005C6281"/>
    <w:rsid w:val="006002D5"/>
    <w:rsid w:val="00601392"/>
    <w:rsid w:val="00604A72"/>
    <w:rsid w:val="00610743"/>
    <w:rsid w:val="00611C20"/>
    <w:rsid w:val="00611E0A"/>
    <w:rsid w:val="0061263C"/>
    <w:rsid w:val="00625AA3"/>
    <w:rsid w:val="006321D0"/>
    <w:rsid w:val="00641B28"/>
    <w:rsid w:val="00646208"/>
    <w:rsid w:val="00651DAE"/>
    <w:rsid w:val="00654175"/>
    <w:rsid w:val="0066365E"/>
    <w:rsid w:val="0066537C"/>
    <w:rsid w:val="006737EE"/>
    <w:rsid w:val="006766B5"/>
    <w:rsid w:val="0068364C"/>
    <w:rsid w:val="00691468"/>
    <w:rsid w:val="006951C0"/>
    <w:rsid w:val="006A14E2"/>
    <w:rsid w:val="006B496F"/>
    <w:rsid w:val="006D158D"/>
    <w:rsid w:val="006D3772"/>
    <w:rsid w:val="006E6591"/>
    <w:rsid w:val="007023BD"/>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6506"/>
    <w:rsid w:val="00862C83"/>
    <w:rsid w:val="00866586"/>
    <w:rsid w:val="008742FD"/>
    <w:rsid w:val="008B0D91"/>
    <w:rsid w:val="008C3BBC"/>
    <w:rsid w:val="008C3DBA"/>
    <w:rsid w:val="008C739C"/>
    <w:rsid w:val="008F2687"/>
    <w:rsid w:val="00904B14"/>
    <w:rsid w:val="00906B24"/>
    <w:rsid w:val="0091199E"/>
    <w:rsid w:val="009129B9"/>
    <w:rsid w:val="00915D55"/>
    <w:rsid w:val="00922965"/>
    <w:rsid w:val="00924CE8"/>
    <w:rsid w:val="00944A83"/>
    <w:rsid w:val="009471B6"/>
    <w:rsid w:val="00950F36"/>
    <w:rsid w:val="00965437"/>
    <w:rsid w:val="00971CB6"/>
    <w:rsid w:val="00972D8E"/>
    <w:rsid w:val="009763F0"/>
    <w:rsid w:val="0097653D"/>
    <w:rsid w:val="0098092D"/>
    <w:rsid w:val="0099050A"/>
    <w:rsid w:val="0099746D"/>
    <w:rsid w:val="009A521F"/>
    <w:rsid w:val="009A675C"/>
    <w:rsid w:val="009B430C"/>
    <w:rsid w:val="009B7425"/>
    <w:rsid w:val="009C7A4B"/>
    <w:rsid w:val="009D0DE1"/>
    <w:rsid w:val="009D22BD"/>
    <w:rsid w:val="00A1097D"/>
    <w:rsid w:val="00A12752"/>
    <w:rsid w:val="00A20D57"/>
    <w:rsid w:val="00A2503A"/>
    <w:rsid w:val="00A25845"/>
    <w:rsid w:val="00A26D5E"/>
    <w:rsid w:val="00A30FB5"/>
    <w:rsid w:val="00A337D3"/>
    <w:rsid w:val="00A400ED"/>
    <w:rsid w:val="00A475AA"/>
    <w:rsid w:val="00A479C7"/>
    <w:rsid w:val="00A54575"/>
    <w:rsid w:val="00A65114"/>
    <w:rsid w:val="00A76DAC"/>
    <w:rsid w:val="00A77D5A"/>
    <w:rsid w:val="00A93EF6"/>
    <w:rsid w:val="00AA5D35"/>
    <w:rsid w:val="00AB6AC4"/>
    <w:rsid w:val="00AC0FBF"/>
    <w:rsid w:val="00AD5942"/>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56919"/>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A62D4"/>
    <w:rsid w:val="00DC0F32"/>
    <w:rsid w:val="00DC0FBD"/>
    <w:rsid w:val="00DC2D18"/>
    <w:rsid w:val="00DC5028"/>
    <w:rsid w:val="00DE3170"/>
    <w:rsid w:val="00DF4455"/>
    <w:rsid w:val="00E23A6B"/>
    <w:rsid w:val="00E301A5"/>
    <w:rsid w:val="00E32FDB"/>
    <w:rsid w:val="00E35A85"/>
    <w:rsid w:val="00E41B18"/>
    <w:rsid w:val="00E55233"/>
    <w:rsid w:val="00E575F6"/>
    <w:rsid w:val="00E70E8B"/>
    <w:rsid w:val="00E82C77"/>
    <w:rsid w:val="00E84845"/>
    <w:rsid w:val="00EA0BD3"/>
    <w:rsid w:val="00EB1A09"/>
    <w:rsid w:val="00EC150C"/>
    <w:rsid w:val="00EC47D5"/>
    <w:rsid w:val="00ED2ACA"/>
    <w:rsid w:val="00ED470F"/>
    <w:rsid w:val="00EE13C1"/>
    <w:rsid w:val="00EE7711"/>
    <w:rsid w:val="00F01194"/>
    <w:rsid w:val="00F114A2"/>
    <w:rsid w:val="00F348B5"/>
    <w:rsid w:val="00F36D3C"/>
    <w:rsid w:val="00F74CCB"/>
    <w:rsid w:val="00F866C1"/>
    <w:rsid w:val="00F94B97"/>
    <w:rsid w:val="00FA3658"/>
    <w:rsid w:val="00FA4E73"/>
    <w:rsid w:val="00FA76BC"/>
    <w:rsid w:val="00FB1B2A"/>
    <w:rsid w:val="00FC6F4D"/>
    <w:rsid w:val="00FD1582"/>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uiPriority w:val="99"/>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Justyna Parla</cp:lastModifiedBy>
  <cp:revision>2</cp:revision>
  <cp:lastPrinted>2021-06-11T12:30:00Z</cp:lastPrinted>
  <dcterms:created xsi:type="dcterms:W3CDTF">2022-04-19T07:27:00Z</dcterms:created>
  <dcterms:modified xsi:type="dcterms:W3CDTF">2022-04-19T07:27:00Z</dcterms:modified>
</cp:coreProperties>
</file>