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05" w:rsidRDefault="00926C05" w:rsidP="00926C05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926C05" w:rsidRDefault="00926C05" w:rsidP="00926C05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- w przypadku pożyczek do kwoty 100 tys. zł, z tym że w przypadku kolejnej pożyczki dla tego samego Pożyczkobiorcy FRW może żądać dodatkowego zabezpieczenia spłaty pożyczki.</w:t>
      </w:r>
    </w:p>
    <w:p w:rsidR="00926C05" w:rsidRDefault="00926C05" w:rsidP="00926C05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C05" w:rsidRDefault="00926C05" w:rsidP="00926C05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</w:rPr>
        <w:t xml:space="preserve">w pozostałych przypadkach </w:t>
      </w:r>
      <w:r>
        <w:rPr>
          <w:rFonts w:ascii="Calibri" w:eastAsia="Calibri" w:hAnsi="Calibri" w:cs="Times New Roman"/>
          <w:b/>
          <w:bCs/>
        </w:rPr>
        <w:t xml:space="preserve">weksel własny niezupełny (in blanco) oraz druga forma prawnego zabezpieczenia spłaty pożyczki. </w:t>
      </w:r>
    </w:p>
    <w:p w:rsidR="00926C05" w:rsidRDefault="00926C05" w:rsidP="00926C05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bCs/>
        </w:rPr>
      </w:pP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26C05" w:rsidRDefault="00926C05" w:rsidP="00926C05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926C05" w:rsidRDefault="00926C05" w:rsidP="00926C05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W przypadku pozostawania poręczyciela w związku małżeńskim, w którym wspólność  małżeńska nie została ograniczona ani wyłączona, wymagane jest poręczenie obojga małżonków.</w:t>
      </w:r>
    </w:p>
    <w:p w:rsidR="00926C05" w:rsidRDefault="00926C05" w:rsidP="00926C05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 Emeryta)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kwestionariusz Poręczyciela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- dokumenty finansowe za bieżący rok (sprawozdania finansowe: bilans, rachunek zysków i strat lub zestawienie książki przychodów i rozchodów 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>
        <w:rPr>
          <w:rFonts w:ascii="Calibri" w:eastAsia="Times New Roman" w:hAnsi="Calibri" w:cs="Times New Roman"/>
          <w:lang w:eastAsia="pl-PL"/>
        </w:rPr>
        <w:t>InfoMonitor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i KRD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terminowości spłaty zobowiązań publiczno-prawnych (ZUS,US)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posiadanych zobowiązań finansowych (ich wysokość , termin spłaty) wraz z informacją                        o terminowości ich obsługi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:rsidR="00926C05" w:rsidRDefault="00926C05" w:rsidP="00926C05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Fundusz przyjmuje na zabezpieczenie nieruchomości użytkowe. W drodze wyjątku gdy Wnioskodawca posiada dwa lokale mieszkalne, a nieruchomość na zabezpieczenie nie jest </w:t>
      </w:r>
      <w:r>
        <w:rPr>
          <w:rFonts w:ascii="Calibri" w:eastAsia="Times New Roman" w:hAnsi="Calibri" w:cs="Times New Roman"/>
          <w:lang w:eastAsia="pl-PL"/>
        </w:rPr>
        <w:tab/>
        <w:t xml:space="preserve">przez niego zamieszkiwana Fundusz może ustanowić hipotekę na lokalu mieszkalnym. Ograniczeniom podlegają zabezpieczenia                                          na nieruchomościach stanowiących grunty rolne.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nieruchomości odbywa się na podstawie operatu szacunkowego lub ustalonej ceny zakupu. W drodze wyjątku gdy wartość nieruchomości na zabezpieczenie jest </w:t>
      </w:r>
      <w:r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  notariusza, </w:t>
      </w:r>
      <w:r>
        <w:rPr>
          <w:rFonts w:ascii="Calibri" w:eastAsia="Times New Roman" w:hAnsi="Calibri" w:cs="Times New Roman"/>
          <w:lang w:eastAsia="pl-PL"/>
        </w:rPr>
        <w:tab/>
        <w:t xml:space="preserve">który składa wniosek do Wydziału Ksiąg Wieczystych w imieniu Pożyczkobiorcy.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>
        <w:rPr>
          <w:rFonts w:ascii="Calibri" w:eastAsia="Times New Roman" w:hAnsi="Calibri" w:cs="Times New Roman"/>
          <w:lang w:eastAsia="pl-PL"/>
        </w:rPr>
        <w:tab/>
        <w:t xml:space="preserve">hipoteki do Księgi Wieczystej. W wyjątkowych przypadkach, gdy sprzedającym nieruchomość jest jednostka samorządu  terytorialnego, środki z pożyczki mogą być uruchomione przed złożeniem wniosku o wpis hipoteki.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Dokumenty: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- </w:t>
      </w:r>
      <w:proofErr w:type="spellStart"/>
      <w:r>
        <w:rPr>
          <w:rFonts w:ascii="Calibri" w:eastAsia="Times New Roman" w:hAnsi="Calibri" w:cs="Times New Roman"/>
          <w:lang w:eastAsia="pl-PL"/>
        </w:rPr>
        <w:t>wyrys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>
        <w:rPr>
          <w:rFonts w:ascii="Calibri" w:eastAsia="Times New Roman" w:hAnsi="Calibri" w:cs="Times New Roman"/>
          <w:lang w:eastAsia="pl-PL"/>
        </w:rPr>
        <w:tab/>
        <w:t xml:space="preserve">Fundusz bierze pod uwagę w szczególności ich obecną wartość, potencjalną utratę wartości w czasie oraz płynność (możliwość odsprzedaży). Z zasady nie są akceptowane drobne środki </w:t>
      </w:r>
      <w:r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>
        <w:rPr>
          <w:rFonts w:ascii="Calibri" w:eastAsia="Times New Roman" w:hAnsi="Calibri" w:cs="Times New Roman"/>
          <w:lang w:eastAsia="pl-PL"/>
        </w:rPr>
        <w:tab/>
        <w:t xml:space="preserve">środki </w:t>
      </w:r>
      <w:r>
        <w:rPr>
          <w:rFonts w:ascii="Calibri" w:eastAsia="Times New Roman" w:hAnsi="Calibri" w:cs="Times New Roman"/>
          <w:lang w:eastAsia="pl-PL"/>
        </w:rPr>
        <w:tab/>
        <w:t xml:space="preserve">trwałe, dla których nie istnieje rynek wtórny, co ograniczałoby </w:t>
      </w:r>
      <w:r>
        <w:rPr>
          <w:rFonts w:ascii="Calibri" w:eastAsia="Times New Roman" w:hAnsi="Calibri" w:cs="Times New Roman"/>
          <w:lang w:eastAsia="pl-PL"/>
        </w:rPr>
        <w:tab/>
        <w:t>możliwość ich odsprzedaży.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926C05" w:rsidRDefault="00926C05" w:rsidP="00926C05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926C05" w:rsidRDefault="00926C05" w:rsidP="00926C05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926C05" w:rsidRDefault="00926C05" w:rsidP="00926C05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:rsidR="00926C05" w:rsidRDefault="00926C05" w:rsidP="00926C05">
      <w:pPr>
        <w:ind w:left="397" w:right="397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FRW nie akceptuje w ramach projektu transakcji pomiędzy podmiotami powiązanymi !!!</w:t>
      </w:r>
    </w:p>
    <w:p w:rsidR="00926C05" w:rsidRDefault="00926C05" w:rsidP="00926C05"/>
    <w:p w:rsidR="00604A72" w:rsidRPr="00604A72" w:rsidRDefault="00604A72" w:rsidP="00604A72"/>
    <w:sectPr w:rsidR="00604A72" w:rsidRPr="00604A72" w:rsidSect="002B62DF">
      <w:headerReference w:type="even" r:id="rId7"/>
      <w:headerReference w:type="default" r:id="rId8"/>
      <w:headerReference w:type="first" r:id="rId9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3" w:rsidRDefault="00A337D3" w:rsidP="004C1E35">
      <w:pPr>
        <w:spacing w:after="0" w:line="240" w:lineRule="auto"/>
      </w:pPr>
      <w:r>
        <w:separator/>
      </w:r>
    </w:p>
  </w:endnote>
  <w:end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3" w:rsidRDefault="00A337D3" w:rsidP="004C1E35">
      <w:pPr>
        <w:spacing w:after="0" w:line="240" w:lineRule="auto"/>
      </w:pPr>
      <w:r>
        <w:separator/>
      </w:r>
    </w:p>
  </w:footnote>
  <w:foot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926C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18" w:rsidRDefault="00926C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1" o:spid="_x0000_s2103" type="#_x0000_t75" style="position:absolute;margin-left:-28.3pt;margin-top:-92.85pt;width:595.2pt;height:841.7pt;z-index:-251656192;mso-position-horizontal-relative:margin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926C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967F5"/>
    <w:rsid w:val="000C10F5"/>
    <w:rsid w:val="000D5037"/>
    <w:rsid w:val="0018460F"/>
    <w:rsid w:val="001D75A6"/>
    <w:rsid w:val="002020E9"/>
    <w:rsid w:val="002170B3"/>
    <w:rsid w:val="00220292"/>
    <w:rsid w:val="002906B6"/>
    <w:rsid w:val="002A4085"/>
    <w:rsid w:val="002B62DF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5C0EAD"/>
    <w:rsid w:val="00604A72"/>
    <w:rsid w:val="00610743"/>
    <w:rsid w:val="00625AA3"/>
    <w:rsid w:val="006321D0"/>
    <w:rsid w:val="0066365E"/>
    <w:rsid w:val="006951C0"/>
    <w:rsid w:val="00710634"/>
    <w:rsid w:val="00732697"/>
    <w:rsid w:val="00862C83"/>
    <w:rsid w:val="0091199E"/>
    <w:rsid w:val="00926C05"/>
    <w:rsid w:val="00944A83"/>
    <w:rsid w:val="00950F36"/>
    <w:rsid w:val="00971CB6"/>
    <w:rsid w:val="00A30FB5"/>
    <w:rsid w:val="00A337D3"/>
    <w:rsid w:val="00A475AA"/>
    <w:rsid w:val="00A93EF6"/>
    <w:rsid w:val="00B019F2"/>
    <w:rsid w:val="00B049B1"/>
    <w:rsid w:val="00B56954"/>
    <w:rsid w:val="00B6098A"/>
    <w:rsid w:val="00B9644D"/>
    <w:rsid w:val="00C46A3D"/>
    <w:rsid w:val="00C944B7"/>
    <w:rsid w:val="00D44842"/>
    <w:rsid w:val="00DA5FD5"/>
    <w:rsid w:val="00DC2D18"/>
    <w:rsid w:val="00E55233"/>
    <w:rsid w:val="00EB69B6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5:docId w15:val="{2F5596D5-54DA-4AB9-B2BC-0A0C1C7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C15B-8604-4D5E-A440-894D729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2</cp:revision>
  <cp:lastPrinted>2016-04-01T10:14:00Z</cp:lastPrinted>
  <dcterms:created xsi:type="dcterms:W3CDTF">2020-05-08T07:08:00Z</dcterms:created>
  <dcterms:modified xsi:type="dcterms:W3CDTF">2020-05-08T07:08:00Z</dcterms:modified>
</cp:coreProperties>
</file>