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FD0" w:rsidRDefault="00EE1FD0" w:rsidP="00EE1FD0">
      <w:pPr>
        <w:autoSpaceDE w:val="0"/>
        <w:spacing w:after="0"/>
        <w:jc w:val="center"/>
        <w:rPr>
          <w:rFonts w:ascii="Times New Roman" w:eastAsia="Times New Roman" w:hAnsi="Times New Roman"/>
          <w:b/>
          <w:bCs/>
          <w:sz w:val="32"/>
          <w:szCs w:val="32"/>
          <w:lang w:eastAsia="pl-PL"/>
        </w:rPr>
      </w:pPr>
      <w:r>
        <w:rPr>
          <w:rFonts w:ascii="Times New Roman" w:eastAsia="Times New Roman" w:hAnsi="Times New Roman"/>
          <w:b/>
          <w:bCs/>
          <w:sz w:val="32"/>
          <w:szCs w:val="32"/>
          <w:lang w:eastAsia="pl-PL"/>
        </w:rPr>
        <w:t>REGULAMIN</w:t>
      </w:r>
    </w:p>
    <w:p w:rsidR="00EE1FD0" w:rsidRDefault="00EE1FD0" w:rsidP="00EE1FD0">
      <w:pPr>
        <w:spacing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Funduszu Pożyczkowego</w:t>
      </w:r>
      <w:r>
        <w:rPr>
          <w:rFonts w:ascii="Times New Roman" w:eastAsia="Times New Roman" w:hAnsi="Times New Roman"/>
          <w:sz w:val="24"/>
          <w:szCs w:val="24"/>
          <w:lang w:eastAsia="pl-PL"/>
        </w:rPr>
        <w:br/>
        <w:t>dla przedsiębiorców z sektora mikro, małych i średnich przedsiębiorstw</w:t>
      </w:r>
    </w:p>
    <w:p w:rsidR="00EE1FD0" w:rsidRDefault="00EE1FD0" w:rsidP="00EE1FD0">
      <w:pPr>
        <w:spacing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w ramach</w:t>
      </w:r>
    </w:p>
    <w:p w:rsidR="00EE1FD0" w:rsidRDefault="00EE1FD0" w:rsidP="00EE1FD0">
      <w:pPr>
        <w:spacing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Regionalnego Programu Operacyjnego Województwa Dolnośląskiego 2014-2020</w:t>
      </w:r>
    </w:p>
    <w:p w:rsidR="00EE1FD0" w:rsidRDefault="00EE1FD0" w:rsidP="00EE1FD0">
      <w:pPr>
        <w:jc w:val="center"/>
      </w:pPr>
      <w:r>
        <w:rPr>
          <w:rFonts w:ascii="Times New Roman" w:eastAsia="Times New Roman" w:hAnsi="Times New Roman"/>
          <w:b/>
          <w:sz w:val="24"/>
          <w:szCs w:val="24"/>
          <w:lang w:eastAsia="pl-PL"/>
        </w:rPr>
        <w:t xml:space="preserve">(nazwa skrócona: </w:t>
      </w:r>
      <w:r>
        <w:rPr>
          <w:rFonts w:ascii="Times New Roman" w:eastAsia="Times New Roman" w:hAnsi="Times New Roman"/>
          <w:b/>
          <w:i/>
          <w:sz w:val="24"/>
          <w:szCs w:val="24"/>
          <w:lang w:eastAsia="pl-PL"/>
        </w:rPr>
        <w:t>Regulamin Funduszu Pożyczkowego RPO IX)</w:t>
      </w:r>
    </w:p>
    <w:p w:rsidR="00EE1FD0" w:rsidRDefault="00EE1FD0" w:rsidP="00EE1FD0">
      <w:pPr>
        <w:jc w:val="center"/>
        <w:rPr>
          <w:rFonts w:ascii="Times New Roman" w:eastAsia="Times New Roman" w:hAnsi="Times New Roman"/>
          <w:b/>
          <w:i/>
          <w:sz w:val="24"/>
          <w:szCs w:val="24"/>
          <w:lang w:eastAsia="pl-PL"/>
        </w:rPr>
      </w:pPr>
    </w:p>
    <w:p w:rsidR="00EE1FD0" w:rsidRDefault="00EE1FD0" w:rsidP="00EE1FD0">
      <w:pPr>
        <w:autoSpaceDE w:val="0"/>
        <w:spacing w:after="240"/>
        <w:jc w:val="center"/>
        <w:rPr>
          <w:rFonts w:ascii="Times New Roman" w:eastAsia="Times New Roman" w:hAnsi="Times New Roman"/>
          <w:b/>
          <w:bCs/>
          <w:lang w:eastAsia="pl-PL"/>
        </w:rPr>
      </w:pPr>
      <w:r>
        <w:rPr>
          <w:rFonts w:ascii="Times New Roman" w:eastAsia="Times New Roman" w:hAnsi="Times New Roman"/>
          <w:b/>
          <w:bCs/>
          <w:lang w:eastAsia="pl-PL"/>
        </w:rPr>
        <w:t>I. Cele i zasięg</w:t>
      </w:r>
    </w:p>
    <w:p w:rsidR="00EE1FD0" w:rsidRDefault="00EE1FD0" w:rsidP="00EE1FD0">
      <w:pPr>
        <w:autoSpaceDE w:val="0"/>
        <w:spacing w:after="0"/>
        <w:jc w:val="center"/>
      </w:pPr>
      <w:r>
        <w:rPr>
          <w:rFonts w:ascii="Times New Roman" w:eastAsia="Times New Roman" w:hAnsi="Times New Roman"/>
          <w:b/>
          <w:bCs/>
          <w:lang w:eastAsia="pl-PL"/>
        </w:rPr>
        <w:t>§ 1</w:t>
      </w:r>
    </w:p>
    <w:p w:rsidR="00EE1FD0" w:rsidRDefault="00EE1FD0" w:rsidP="00EE1FD0">
      <w:pPr>
        <w:numPr>
          <w:ilvl w:val="0"/>
          <w:numId w:val="2"/>
        </w:numPr>
        <w:suppressAutoHyphens/>
        <w:autoSpaceDE w:val="0"/>
        <w:autoSpaceDN w:val="0"/>
        <w:spacing w:after="0"/>
        <w:ind w:left="426" w:hanging="426"/>
        <w:jc w:val="both"/>
        <w:textAlignment w:val="baseline"/>
      </w:pPr>
      <w:r>
        <w:rPr>
          <w:rFonts w:ascii="Times New Roman" w:eastAsia="Times New Roman" w:hAnsi="Times New Roman"/>
          <w:bCs/>
          <w:sz w:val="24"/>
          <w:szCs w:val="24"/>
          <w:lang w:eastAsia="pl-PL"/>
        </w:rPr>
        <w:t xml:space="preserve">Niniejszy Regulamin określa zasady wspierania przez Fundusz Regionu Wałbrzyskiego (dalej: </w:t>
      </w:r>
      <w:r>
        <w:rPr>
          <w:rFonts w:ascii="Times New Roman" w:eastAsia="Times New Roman" w:hAnsi="Times New Roman"/>
          <w:bCs/>
          <w:i/>
          <w:sz w:val="24"/>
          <w:szCs w:val="24"/>
          <w:lang w:eastAsia="pl-PL"/>
        </w:rPr>
        <w:t>FRW</w:t>
      </w:r>
      <w:r>
        <w:rPr>
          <w:rFonts w:ascii="Times New Roman" w:eastAsia="Times New Roman" w:hAnsi="Times New Roman"/>
          <w:bCs/>
          <w:sz w:val="24"/>
          <w:szCs w:val="24"/>
          <w:lang w:eastAsia="pl-PL"/>
        </w:rPr>
        <w:t xml:space="preserve">) przedsiębiorców z sektora mikro, małych i średnich przedsiębiorstw (dalej: </w:t>
      </w:r>
      <w:r>
        <w:rPr>
          <w:rFonts w:ascii="Times New Roman" w:eastAsia="Times New Roman" w:hAnsi="Times New Roman"/>
          <w:bCs/>
          <w:i/>
          <w:sz w:val="24"/>
          <w:szCs w:val="24"/>
          <w:lang w:eastAsia="pl-PL"/>
        </w:rPr>
        <w:t>Przedsiębiorcy</w:t>
      </w:r>
      <w:r>
        <w:rPr>
          <w:rFonts w:ascii="Times New Roman" w:eastAsia="Times New Roman" w:hAnsi="Times New Roman"/>
          <w:bCs/>
          <w:sz w:val="24"/>
          <w:szCs w:val="24"/>
          <w:lang w:eastAsia="pl-PL"/>
        </w:rPr>
        <w:t xml:space="preserve"> lub </w:t>
      </w:r>
      <w:r>
        <w:rPr>
          <w:rFonts w:ascii="Times New Roman" w:eastAsia="Times New Roman" w:hAnsi="Times New Roman"/>
          <w:bCs/>
          <w:i/>
          <w:sz w:val="24"/>
          <w:szCs w:val="24"/>
          <w:lang w:eastAsia="pl-PL"/>
        </w:rPr>
        <w:t>Pożyczkobiorcy</w:t>
      </w:r>
      <w:r>
        <w:rPr>
          <w:rFonts w:ascii="Times New Roman" w:eastAsia="Times New Roman" w:hAnsi="Times New Roman"/>
          <w:bCs/>
          <w:sz w:val="24"/>
          <w:szCs w:val="24"/>
          <w:lang w:eastAsia="pl-PL"/>
        </w:rPr>
        <w:t>) w ramach Regionalnego Programu Operacyjnego Województwa Dolnośląskiego 2014-2020, poprzez udzielanie pożyczek w ramach instrumentu finansowego „Pożyczka Rozwojowa” utworzonego na podstawie Umowy Operacyjnej nr</w:t>
      </w:r>
      <w:r w:rsidR="00851895">
        <w:rPr>
          <w:rFonts w:ascii="Times New Roman" w:eastAsia="Times New Roman" w:hAnsi="Times New Roman"/>
          <w:bCs/>
          <w:sz w:val="24"/>
          <w:szCs w:val="24"/>
          <w:lang w:eastAsia="pl-PL"/>
        </w:rPr>
        <w:t xml:space="preserve"> 2/RPDS/8918/2019/VIII/DIF/222</w:t>
      </w:r>
      <w:r>
        <w:rPr>
          <w:rFonts w:ascii="Times New Roman" w:eastAsia="Times New Roman" w:hAnsi="Times New Roman"/>
          <w:bCs/>
          <w:sz w:val="24"/>
          <w:szCs w:val="24"/>
          <w:lang w:eastAsia="pl-PL"/>
        </w:rPr>
        <w:t xml:space="preserve"> zawartej pomiędzy Bankiem Gospodarstwa Krajowego, jako Menadżerem a FRW, jako Pośrednikiem finansowym.</w:t>
      </w:r>
    </w:p>
    <w:p w:rsidR="00EE1FD0" w:rsidRDefault="00EE1FD0" w:rsidP="00EE1FD0">
      <w:pPr>
        <w:numPr>
          <w:ilvl w:val="0"/>
          <w:numId w:val="1"/>
        </w:numPr>
        <w:suppressAutoHyphens/>
        <w:autoSpaceDN w:val="0"/>
        <w:spacing w:after="0"/>
        <w:ind w:left="426" w:hanging="426"/>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Celem utworzenia Funduszu Pożyczkowego RPO IX jest ułatwienie przedsiębiorcom z sektora mikro, małych i średnich przedsiębiorstw dostępu do finansowania zewnętrznego poprzez zwiększenie efektywności i dostępności pożyczek.</w:t>
      </w:r>
    </w:p>
    <w:p w:rsidR="00EE1FD0" w:rsidRDefault="00EE1FD0" w:rsidP="00EE1FD0">
      <w:pPr>
        <w:numPr>
          <w:ilvl w:val="0"/>
          <w:numId w:val="1"/>
        </w:numPr>
        <w:suppressAutoHyphens/>
        <w:autoSpaceDN w:val="0"/>
        <w:spacing w:after="0"/>
        <w:ind w:left="426" w:hanging="426"/>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W ramach Funduszu Pożyczkowego RPO IX finansowane będą przedsięwzięcia przedsiębiorstw, realizowane na terenie województwa dolnośląskiego, zwiększające zastosowanie innowacji w przedsiębiorstwach oraz przedsięwzięcia rozwojowe i inwestycje przedsiębiorstw, realizowane na terenie województwa dolnośląskiego, przyczyniające się do zwiększenia ich konkurencyjności. </w:t>
      </w:r>
    </w:p>
    <w:p w:rsidR="00EE1FD0" w:rsidRDefault="00EE1FD0" w:rsidP="00EE1FD0">
      <w:pPr>
        <w:numPr>
          <w:ilvl w:val="0"/>
          <w:numId w:val="1"/>
        </w:numPr>
        <w:suppressAutoHyphens/>
        <w:autoSpaceDN w:val="0"/>
        <w:ind w:left="426" w:hanging="426"/>
        <w:jc w:val="both"/>
        <w:textAlignment w:val="baseline"/>
      </w:pPr>
      <w:r>
        <w:rPr>
          <w:rFonts w:ascii="Times New Roman" w:eastAsia="Times New Roman" w:hAnsi="Times New Roman"/>
          <w:bCs/>
          <w:sz w:val="24"/>
          <w:szCs w:val="24"/>
          <w:lang w:eastAsia="pl-PL"/>
        </w:rPr>
        <w:t xml:space="preserve">Fundusz Pożyczkowy RPO IX finansowany jest z wkładu finansowego ze środków Funduszu Funduszy utworzonego w ramach Osi Priorytetowej 1. „Przedsiębiorstwa </w:t>
      </w:r>
      <w:r w:rsidR="00851895">
        <w:rPr>
          <w:rFonts w:ascii="Times New Roman" w:eastAsia="Times New Roman" w:hAnsi="Times New Roman"/>
          <w:bCs/>
          <w:sz w:val="24"/>
          <w:szCs w:val="24"/>
          <w:lang w:eastAsia="pl-PL"/>
        </w:rPr>
        <w:br/>
      </w:r>
      <w:r>
        <w:rPr>
          <w:rFonts w:ascii="Times New Roman" w:eastAsia="Times New Roman" w:hAnsi="Times New Roman"/>
          <w:bCs/>
          <w:sz w:val="24"/>
          <w:szCs w:val="24"/>
          <w:lang w:eastAsia="pl-PL"/>
        </w:rPr>
        <w:t>i innowacje”, Działanie 1.5 „Rozwój produktów i usług w MŚP” –</w:t>
      </w:r>
      <w:r>
        <w:rPr>
          <w:rFonts w:ascii="Times New Roman" w:eastAsia="Times New Roman" w:hAnsi="Times New Roman"/>
          <w:bCs/>
          <w:i/>
          <w:sz w:val="24"/>
          <w:szCs w:val="24"/>
          <w:lang w:eastAsia="pl-PL"/>
        </w:rPr>
        <w:t xml:space="preserve"> wsparcie </w:t>
      </w:r>
      <w:proofErr w:type="spellStart"/>
      <w:r>
        <w:rPr>
          <w:rFonts w:ascii="Times New Roman" w:eastAsia="Times New Roman" w:hAnsi="Times New Roman"/>
          <w:bCs/>
          <w:i/>
          <w:sz w:val="24"/>
          <w:szCs w:val="24"/>
          <w:lang w:eastAsia="pl-PL"/>
        </w:rPr>
        <w:t>pozadotacyjne</w:t>
      </w:r>
      <w:proofErr w:type="spellEnd"/>
      <w:r>
        <w:rPr>
          <w:rFonts w:ascii="Times New Roman" w:eastAsia="Times New Roman" w:hAnsi="Times New Roman"/>
          <w:bCs/>
          <w:i/>
          <w:sz w:val="24"/>
          <w:szCs w:val="24"/>
          <w:lang w:eastAsia="pl-PL"/>
        </w:rPr>
        <w:t xml:space="preserve"> współfinansowane z Europejskiego Funduszu Rozwoju Regionalnego w </w:t>
      </w:r>
      <w:r>
        <w:rPr>
          <w:rFonts w:ascii="Times New Roman" w:eastAsia="Times New Roman" w:hAnsi="Times New Roman"/>
          <w:bCs/>
          <w:sz w:val="24"/>
          <w:szCs w:val="24"/>
          <w:lang w:eastAsia="pl-PL"/>
        </w:rPr>
        <w:t>ramach Regionalnego Programu Operacyjnego Województwa Dolnośląskiego 2014 – 2020 oraz własnego wkładu finansowego FRW.</w:t>
      </w:r>
    </w:p>
    <w:p w:rsidR="00EE1FD0" w:rsidRDefault="00EE1FD0" w:rsidP="00EE1FD0">
      <w:pPr>
        <w:autoSpaceDE w:val="0"/>
        <w:spacing w:after="0"/>
        <w:jc w:val="center"/>
      </w:pPr>
      <w:r>
        <w:rPr>
          <w:rFonts w:ascii="Times New Roman" w:eastAsia="Times New Roman" w:hAnsi="Times New Roman"/>
          <w:b/>
          <w:bCs/>
          <w:sz w:val="24"/>
          <w:szCs w:val="24"/>
          <w:lang w:eastAsia="pl-PL"/>
        </w:rPr>
        <w:t>§ 2</w:t>
      </w:r>
    </w:p>
    <w:p w:rsidR="00EE1FD0" w:rsidRDefault="00EE1FD0" w:rsidP="00EE1FD0">
      <w:pPr>
        <w:numPr>
          <w:ilvl w:val="0"/>
          <w:numId w:val="4"/>
        </w:numPr>
        <w:suppressAutoHyphens/>
        <w:autoSpaceDN w:val="0"/>
        <w:spacing w:after="0"/>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Beneficjentami Funduszu Pożyczkowego RPO IX mogą być wyłącznie Przedsiębiorcy, którzy spełniają łącznie następujące kryteria:</w:t>
      </w:r>
    </w:p>
    <w:p w:rsidR="00EE1FD0" w:rsidRDefault="00EE1FD0" w:rsidP="00EE1FD0">
      <w:pPr>
        <w:numPr>
          <w:ilvl w:val="0"/>
          <w:numId w:val="6"/>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nie znajdują się w trudnej sytuacji w rozumieniu pkt 20 Wytycznych dotyczących pomocy państwa na ratowanie i restrukturyzację przedsiębiorstw niefinansowych znajdujących się w trudnej sytuacji (Dz. Urz. UE C 249/1 z 31.07.2014 r.);</w:t>
      </w:r>
    </w:p>
    <w:p w:rsidR="00EE1FD0" w:rsidRDefault="00EE1FD0" w:rsidP="00EE1FD0">
      <w:pPr>
        <w:numPr>
          <w:ilvl w:val="0"/>
          <w:numId w:val="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nie ciąży na nich obowiązek zwrotu pomocy, wynikający z decyzji Komisji Europejskiej uznającej pomoc za niezgodną z prawem oraz ze wspólnym rynkiem lub orzeczenia sądu krajowego lub unijnego;</w:t>
      </w:r>
    </w:p>
    <w:p w:rsidR="00EE1FD0" w:rsidRDefault="00EE1FD0" w:rsidP="00EE1FD0">
      <w:pPr>
        <w:numPr>
          <w:ilvl w:val="0"/>
          <w:numId w:val="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są mikro lub małym przedsiębiorstwem w przypadku ubiegania się o Pożyczkę Rozwojową, o której mowa w ust. 2 niniejszego paragrafu oraz mikro, małym lub średnim przedsiębiorstwem w przypadku ubiegania się o Pożyczkę Rozwojową, o której mowa w ust. 3 niniejszego paragrafu, w rozumieniu przepisów załącznika</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 nr I Rozporządzenia Komisji (UE) nr 651/2014 z dnia 17 czerwca 2014 r. uznającego niektóre rodzaje pomocy za zgodne z rynkiem wewnętrznym w zastosowaniu art. 107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i 108 Traktatu;</w:t>
      </w:r>
    </w:p>
    <w:p w:rsidR="00EE1FD0" w:rsidRDefault="00EE1FD0" w:rsidP="00EE1FD0">
      <w:pPr>
        <w:numPr>
          <w:ilvl w:val="0"/>
          <w:numId w:val="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są osobami fizycznymi, osobami prawnymi, albo jednostkami organizacyjnymi niebędącymi osobami prawnymi, którym właściwa ustawa przyznaje zdolność prawną, prowadzącymi działalność gospodarczą na terenie województwa dolnośląskiego;</w:t>
      </w:r>
    </w:p>
    <w:p w:rsidR="00EE1FD0" w:rsidRDefault="00EE1FD0" w:rsidP="00EE1FD0">
      <w:pPr>
        <w:numPr>
          <w:ilvl w:val="0"/>
          <w:numId w:val="5"/>
        </w:numPr>
        <w:suppressAutoHyphens/>
        <w:autoSpaceDE w:val="0"/>
        <w:autoSpaceDN w:val="0"/>
        <w:spacing w:after="0"/>
        <w:jc w:val="both"/>
        <w:textAlignment w:val="baseline"/>
      </w:pPr>
      <w:r>
        <w:rPr>
          <w:rFonts w:ascii="Times New Roman" w:eastAsia="Times New Roman" w:hAnsi="Times New Roman"/>
          <w:sz w:val="24"/>
          <w:szCs w:val="24"/>
          <w:lang w:eastAsia="pl-PL"/>
        </w:rPr>
        <w:t xml:space="preserve">nie są wykluczeni, stosownie do Rozporządzenia Komisji (UE) nr 1407/2013 z dnia 18 grudnia 2013 r. w sprawie stosowania art. 107 i 108 Traktatu o funkcjonowaniu Unii Europejskiej do pomocy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 xml:space="preserve"> (jeżeli przedsiębiorstwo ubiega się o pomoc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w:t>
      </w:r>
    </w:p>
    <w:p w:rsidR="00EE1FD0" w:rsidRDefault="00EE1FD0" w:rsidP="00EE1FD0">
      <w:pPr>
        <w:numPr>
          <w:ilvl w:val="0"/>
          <w:numId w:val="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1 pt. 2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a ustawy o odpowiedzialności podmiotów zbiorowych za czyny zabronione pod groźbą kary,</w:t>
      </w:r>
    </w:p>
    <w:p w:rsidR="00EE1FD0" w:rsidRDefault="00EE1FD0" w:rsidP="00EE1FD0">
      <w:pPr>
        <w:numPr>
          <w:ilvl w:val="0"/>
          <w:numId w:val="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są podmiotami w stosunku, do których FRW lub osoby upoważnione do jego reprezentacji posiadają, tak bezpośrednio jak i pośrednio, jakiekolwiek powiązania,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w tym o charakterze majątkowym, kapitałowym, osobowym czy też faktycznym, które wpływają lub mogłyby potencjalnie wpływać na prawidłową realizację Operacji,</w:t>
      </w:r>
    </w:p>
    <w:p w:rsidR="00EE1FD0" w:rsidRDefault="00EE1FD0" w:rsidP="00EE1FD0">
      <w:pPr>
        <w:numPr>
          <w:ilvl w:val="0"/>
          <w:numId w:val="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najpóźniej w dniu zawarcia umowy pożyczki posiadają w województwie dolnośląskim siedzibę lub oddział, zgodnie z wpisem do rejestru przedsiębiorców w Krajowym Rejestrze Sądowym albo stałe lub dodatkowe stałe miejsce wykonywania działalności gospodarczej, zgodnie z wpisem do Centralnej Ewidencji i Informacji o Działalności Gospodarczej.</w:t>
      </w:r>
    </w:p>
    <w:p w:rsidR="00EE1FD0" w:rsidRDefault="00EE1FD0" w:rsidP="00EE1FD0">
      <w:pPr>
        <w:autoSpaceDE w:val="0"/>
        <w:spacing w:after="0"/>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gdy Przedsiębiorca nie posiada ujawnionego w CEIDG stałego lub dodatkowego stałego miejsca wykonywania działalności gospodarczej, taki Przedsiębiorca może otrzymać wsparcie, pod warunkiem, że posiada adres zamieszkania na terenie województwa dolnośląskiego, co zostanie potwierdzone przez FRW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p w:rsidR="00EE1FD0" w:rsidRDefault="00EE1FD0" w:rsidP="00EE1FD0">
      <w:pPr>
        <w:numPr>
          <w:ilvl w:val="0"/>
          <w:numId w:val="3"/>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Pożyczka Rozwojowa w wysokości do 100 000,00 zł udzielona może zostać Przedsiębiorcy będącemu mikro lub małym przedsiębiorstwem w rozumieniu przepisów załącznika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nr I Rozporządzenia Komisji (UE) nr 651/2014 z dnia 17 czerwca 2014 r. uznającego </w:t>
      </w:r>
      <w:r>
        <w:rPr>
          <w:rFonts w:ascii="Times New Roman" w:eastAsia="Times New Roman" w:hAnsi="Times New Roman"/>
          <w:sz w:val="24"/>
          <w:szCs w:val="24"/>
          <w:lang w:eastAsia="pl-PL"/>
        </w:rPr>
        <w:lastRenderedPageBreak/>
        <w:t>niektóre rodzaje pomocy za zgodne z rynkiem wewnętrznym w zastosowaniu art. 107 i 108 Traktatu.</w:t>
      </w:r>
    </w:p>
    <w:p w:rsidR="00EE1FD0" w:rsidRDefault="00EE1FD0" w:rsidP="00EE1FD0">
      <w:pPr>
        <w:numPr>
          <w:ilvl w:val="0"/>
          <w:numId w:val="3"/>
        </w:numPr>
        <w:suppressAutoHyphens/>
        <w:autoSpaceDE w:val="0"/>
        <w:autoSpaceDN w:val="0"/>
        <w:spacing w:after="240"/>
        <w:jc w:val="both"/>
        <w:textAlignment w:val="baseline"/>
      </w:pPr>
      <w:r>
        <w:rPr>
          <w:rFonts w:ascii="Times New Roman" w:eastAsia="Times New Roman" w:hAnsi="Times New Roman"/>
          <w:sz w:val="24"/>
          <w:szCs w:val="24"/>
          <w:lang w:eastAsia="pl-PL"/>
        </w:rPr>
        <w:t>Pożyczka Rozwojowa w wysokości od 100 000,01 zł do 1,000 000,00 zł udzielona może zostać Przedsiębiorcy będącemu</w:t>
      </w:r>
      <w:r>
        <w:rPr>
          <w:rFonts w:ascii="Arial" w:eastAsia="Times New Roman" w:hAnsi="Arial" w:cs="Arial"/>
          <w:color w:val="000000"/>
          <w:sz w:val="24"/>
          <w:szCs w:val="24"/>
          <w:lang w:eastAsia="pl-PL"/>
        </w:rPr>
        <w:t xml:space="preserve"> </w:t>
      </w:r>
      <w:r>
        <w:rPr>
          <w:rFonts w:ascii="Times New Roman" w:eastAsia="Times New Roman" w:hAnsi="Times New Roman"/>
          <w:sz w:val="24"/>
          <w:szCs w:val="24"/>
          <w:lang w:eastAsia="pl-PL"/>
        </w:rPr>
        <w:t>mikro, małym lub średnim przedsiębiorstwem w rozumieniu przepisów załącznika nr I Rozporządzenia Komisji (UE) nr 651/2014 z dnia 17 czerwca 2014 r. uznającego niektóre rodzaje pomocy za zgodne z rynkiem wewnętrznym w zastosowaniu art. 107 i 108 Traktatu.</w:t>
      </w:r>
    </w:p>
    <w:p w:rsidR="00EE1FD0" w:rsidRDefault="00EE1FD0" w:rsidP="00EE1FD0">
      <w:pPr>
        <w:autoSpaceDE w:val="0"/>
        <w:spacing w:after="240"/>
        <w:jc w:val="center"/>
        <w:rPr>
          <w:rFonts w:ascii="Times New Roman" w:eastAsia="Times New Roman" w:hAnsi="Times New Roman"/>
          <w:b/>
          <w:bCs/>
          <w:lang w:eastAsia="pl-PL"/>
        </w:rPr>
      </w:pPr>
      <w:r>
        <w:rPr>
          <w:rFonts w:ascii="Times New Roman" w:eastAsia="Times New Roman" w:hAnsi="Times New Roman"/>
          <w:b/>
          <w:bCs/>
          <w:lang w:eastAsia="pl-PL"/>
        </w:rPr>
        <w:t>II. Kryteria dopuszczalności ubiegania się o pożyczkę</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3</w:t>
      </w:r>
    </w:p>
    <w:p w:rsidR="00EE1FD0" w:rsidRDefault="00EE1FD0" w:rsidP="00EE1FD0">
      <w:pPr>
        <w:numPr>
          <w:ilvl w:val="0"/>
          <w:numId w:val="8"/>
        </w:numPr>
        <w:suppressAutoHyphens/>
        <w:autoSpaceDE w:val="0"/>
        <w:autoSpaceDN w:val="0"/>
        <w:spacing w:after="0"/>
        <w:jc w:val="both"/>
        <w:textAlignment w:val="baseline"/>
      </w:pPr>
      <w:r>
        <w:rPr>
          <w:rFonts w:ascii="Times New Roman" w:eastAsia="Times New Roman" w:hAnsi="Times New Roman"/>
          <w:sz w:val="24"/>
          <w:szCs w:val="24"/>
          <w:lang w:eastAsia="pl-PL"/>
        </w:rPr>
        <w:t xml:space="preserve">O udzielenie pożyczek ubiegać się mogą Przedsiębiorcy, którzy spełniają następujące kryteria: </w:t>
      </w:r>
    </w:p>
    <w:p w:rsidR="00EE1FD0" w:rsidRDefault="00EE1FD0" w:rsidP="00EE1FD0">
      <w:pPr>
        <w:numPr>
          <w:ilvl w:val="0"/>
          <w:numId w:val="10"/>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posiadają zdolność kredytową tj. zdolność spłaty pożyczki wraz z odsetkami w umownym terminie spłaty; </w:t>
      </w:r>
    </w:p>
    <w:p w:rsidR="00EE1FD0" w:rsidRDefault="00EE1FD0" w:rsidP="00EE1FD0">
      <w:pPr>
        <w:numPr>
          <w:ilvl w:val="0"/>
          <w:numId w:val="9"/>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prowadzą rachunkowość zgodnie z obowiązującymi przepisami; </w:t>
      </w:r>
    </w:p>
    <w:p w:rsidR="00EE1FD0" w:rsidRDefault="00EE1FD0" w:rsidP="00EE1FD0">
      <w:pPr>
        <w:numPr>
          <w:ilvl w:val="0"/>
          <w:numId w:val="9"/>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 roku poprzedzającym złożenie wniosku nie wykazały znaczącej straty bilansowej</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przypadku kontynuowania działalności gospodarczej); </w:t>
      </w:r>
    </w:p>
    <w:p w:rsidR="00EE1FD0" w:rsidRDefault="00EE1FD0" w:rsidP="00EE1FD0">
      <w:pPr>
        <w:numPr>
          <w:ilvl w:val="0"/>
          <w:numId w:val="9"/>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terminowo regulują płatności podatkowe wobec Skarbu Państwa oraz zobowiązania wobec ZUS. Dla udokumentowania powyższej okoliczności wnioskodawca składa oświadczenia o braku zadłużenia wobec powyższych instytucji. Jeśli z tytułu jakichkolwiek zaległych należności przedsiębiorstwo jest dłużnikiem Skarbu Państwa lub ZUS, to konieczną przesłanką dopuszczalności ubiegania się o pożyczkę jest uprzednie zawarcie z wierzycielem porozumienia co do terminu i sposobu spłaty długu. W takiej sytuacji wnioskodawca przedkłada pożyczkodawcy umowę z wierzycielem lub jego decyzję w przedmiotowej sprawie;</w:t>
      </w:r>
    </w:p>
    <w:p w:rsidR="00EE1FD0" w:rsidRDefault="00EE1FD0" w:rsidP="00EE1FD0">
      <w:pPr>
        <w:numPr>
          <w:ilvl w:val="0"/>
          <w:numId w:val="9"/>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mają odpowiednie warunki oraz możliwości techniczno-organizacyjne do zarządzania proponowanym przedsięwzięciem;</w:t>
      </w:r>
    </w:p>
    <w:p w:rsidR="00EE1FD0" w:rsidRDefault="00EE1FD0" w:rsidP="00EE1FD0">
      <w:pPr>
        <w:numPr>
          <w:ilvl w:val="0"/>
          <w:numId w:val="9"/>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zostali pozytywnie zweryfikowani w bazach informacji gospodarczych;</w:t>
      </w:r>
    </w:p>
    <w:p w:rsidR="00EE1FD0" w:rsidRDefault="00EE1FD0" w:rsidP="00EE1FD0">
      <w:pPr>
        <w:numPr>
          <w:ilvl w:val="0"/>
          <w:numId w:val="9"/>
        </w:numPr>
        <w:suppressAutoHyphens/>
        <w:autoSpaceDN w:val="0"/>
        <w:spacing w:after="0"/>
        <w:jc w:val="both"/>
        <w:textAlignment w:val="baseline"/>
      </w:pPr>
      <w:r>
        <w:rPr>
          <w:rFonts w:ascii="Times New Roman" w:eastAsia="SimSun" w:hAnsi="Times New Roman"/>
          <w:sz w:val="24"/>
          <w:szCs w:val="24"/>
          <w:lang w:eastAsia="pl-PL"/>
        </w:rPr>
        <w:t xml:space="preserve">wnioskodawca, członkowie organów zarządzających wnioskodawcy, bądź wspólnicy wnioskodawcy nie byli prawomocnie skazani </w:t>
      </w:r>
      <w:r>
        <w:rPr>
          <w:rFonts w:ascii="Times New Roman" w:eastAsia="Times New Roman" w:hAnsi="Times New Roman"/>
          <w:sz w:val="24"/>
          <w:szCs w:val="24"/>
          <w:lang w:eastAsia="pl-PL"/>
        </w:rPr>
        <w:t>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rsidR="00EE1FD0" w:rsidRDefault="00EE1FD0" w:rsidP="00EE1FD0">
      <w:pPr>
        <w:numPr>
          <w:ilvl w:val="0"/>
          <w:numId w:val="7"/>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określone w ust. 1 lit. c i d nie dotyczą podmiotów, które zostały zarejestrowane lub rozpoczęły działalność gospodarczą w okresie krótszym niż 90 dni przed złożeniem wniosku.</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4</w:t>
      </w:r>
    </w:p>
    <w:p w:rsidR="00EE1FD0" w:rsidRDefault="00EE1FD0" w:rsidP="00EE1FD0">
      <w:pPr>
        <w:jc w:val="both"/>
        <w:rPr>
          <w:rFonts w:ascii="Times New Roman" w:eastAsia="Times New Roman" w:hAnsi="Times New Roman"/>
          <w:sz w:val="24"/>
          <w:szCs w:val="26"/>
          <w:lang w:eastAsia="pl-PL"/>
        </w:rPr>
      </w:pPr>
      <w:r>
        <w:rPr>
          <w:rFonts w:ascii="Times New Roman" w:eastAsia="Times New Roman" w:hAnsi="Times New Roman"/>
          <w:sz w:val="24"/>
          <w:szCs w:val="26"/>
          <w:lang w:eastAsia="pl-PL"/>
        </w:rPr>
        <w:t>FRW może uzależnić udzielenie pożyczki od zapewnienia udziału środków własnych wnioskodawcy na częściowe pokrycie przedsięwzięcia, o którego finansowanie ubiega się wnioskodawca (do 20%).</w:t>
      </w:r>
    </w:p>
    <w:p w:rsidR="00EE1FD0" w:rsidRDefault="00EE1FD0" w:rsidP="00EE1FD0">
      <w:pPr>
        <w:jc w:val="both"/>
        <w:rPr>
          <w:rFonts w:ascii="Times New Roman" w:eastAsia="Times New Roman" w:hAnsi="Times New Roman"/>
          <w:sz w:val="24"/>
          <w:szCs w:val="26"/>
          <w:lang w:eastAsia="pl-PL"/>
        </w:rPr>
      </w:pPr>
    </w:p>
    <w:p w:rsidR="00EE1FD0" w:rsidRDefault="00EE1FD0" w:rsidP="00EE1FD0">
      <w:pPr>
        <w:spacing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III. Przeznaczenie pożyczek</w:t>
      </w:r>
    </w:p>
    <w:p w:rsidR="00EE1FD0" w:rsidRDefault="00EE1FD0" w:rsidP="00EE1FD0">
      <w:pPr>
        <w:autoSpaceDE w:val="0"/>
        <w:spacing w:before="240" w:after="0"/>
        <w:jc w:val="center"/>
        <w:rPr>
          <w:rFonts w:ascii="Times New Roman" w:eastAsia="Times New Roman" w:hAnsi="Times New Roman"/>
          <w:b/>
          <w:bCs/>
          <w:lang w:eastAsia="pl-PL"/>
        </w:rPr>
      </w:pPr>
      <w:r>
        <w:rPr>
          <w:rFonts w:ascii="Times New Roman" w:eastAsia="Times New Roman" w:hAnsi="Times New Roman"/>
          <w:b/>
          <w:bCs/>
          <w:lang w:eastAsia="pl-PL"/>
        </w:rPr>
        <w:t>§ 5</w:t>
      </w:r>
    </w:p>
    <w:p w:rsidR="00EE1FD0" w:rsidRDefault="00EE1FD0" w:rsidP="00EE1FD0">
      <w:pPr>
        <w:numPr>
          <w:ilvl w:val="0"/>
          <w:numId w:val="12"/>
        </w:numPr>
        <w:suppressAutoHyphens/>
        <w:autoSpaceDE w:val="0"/>
        <w:autoSpaceDN w:val="0"/>
        <w:spacing w:after="0"/>
        <w:jc w:val="both"/>
        <w:textAlignment w:val="baseline"/>
      </w:pPr>
      <w:r>
        <w:rPr>
          <w:rFonts w:ascii="Times New Roman" w:eastAsia="Times New Roman" w:hAnsi="Times New Roman"/>
          <w:sz w:val="24"/>
          <w:szCs w:val="24"/>
          <w:lang w:eastAsia="pl-PL"/>
        </w:rPr>
        <w:t xml:space="preserve">W ramach </w:t>
      </w:r>
      <w:r>
        <w:rPr>
          <w:rFonts w:ascii="Times New Roman" w:eastAsia="Times New Roman" w:hAnsi="Times New Roman"/>
          <w:sz w:val="24"/>
          <w:lang w:eastAsia="pl-PL"/>
        </w:rPr>
        <w:t xml:space="preserve">Pożyczek Rozwojowych </w:t>
      </w:r>
      <w:r>
        <w:rPr>
          <w:rFonts w:ascii="Times New Roman" w:eastAsia="Times New Roman" w:hAnsi="Times New Roman"/>
          <w:sz w:val="24"/>
          <w:szCs w:val="24"/>
          <w:lang w:eastAsia="pl-PL"/>
        </w:rPr>
        <w:t xml:space="preserve">finansowane będą przedsięwzięcia </w:t>
      </w:r>
      <w:r>
        <w:rPr>
          <w:rFonts w:ascii="Times New Roman" w:eastAsia="Times New Roman" w:hAnsi="Times New Roman"/>
          <w:bCs/>
          <w:color w:val="000000"/>
          <w:sz w:val="24"/>
          <w:szCs w:val="24"/>
          <w:lang w:eastAsia="pl-PL"/>
        </w:rPr>
        <w:t xml:space="preserve">realizowane na terenie województwa dolnośląskiego, zwiększające zastosowanie innowacji </w:t>
      </w:r>
      <w:r w:rsidR="00851895">
        <w:rPr>
          <w:rFonts w:ascii="Times New Roman" w:eastAsia="Times New Roman" w:hAnsi="Times New Roman"/>
          <w:bCs/>
          <w:color w:val="000000"/>
          <w:sz w:val="24"/>
          <w:szCs w:val="24"/>
          <w:lang w:eastAsia="pl-PL"/>
        </w:rPr>
        <w:br/>
      </w:r>
      <w:r>
        <w:rPr>
          <w:rFonts w:ascii="Times New Roman" w:eastAsia="Times New Roman" w:hAnsi="Times New Roman"/>
          <w:bCs/>
          <w:color w:val="000000"/>
          <w:sz w:val="24"/>
          <w:szCs w:val="24"/>
          <w:lang w:eastAsia="pl-PL"/>
        </w:rPr>
        <w:t>w przedsiębiorstwach oraz przedsięwzięcia rozwojowe oraz inwestycje przedsiębiorstw, realizowane na terenie województwa dolnośląskiego, przyczyniające się do zwiększenia ich konkurencyjności m.in. poprzez inwestycje związane z:</w:t>
      </w:r>
    </w:p>
    <w:p w:rsidR="00EE1FD0" w:rsidRDefault="00EE1FD0" w:rsidP="00EE1FD0">
      <w:pPr>
        <w:numPr>
          <w:ilvl w:val="0"/>
          <w:numId w:val="14"/>
        </w:numPr>
        <w:suppressAutoHyphens/>
        <w:autoSpaceDE w:val="0"/>
        <w:autoSpaceDN w:val="0"/>
        <w:spacing w:after="0"/>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wprowadzaniem innowacyjnych produktów i procesów oraz usług;</w:t>
      </w:r>
    </w:p>
    <w:p w:rsidR="00EE1FD0" w:rsidRDefault="00EE1FD0" w:rsidP="00EE1FD0">
      <w:pPr>
        <w:numPr>
          <w:ilvl w:val="0"/>
          <w:numId w:val="13"/>
        </w:numPr>
        <w:suppressAutoHyphens/>
        <w:autoSpaceDE w:val="0"/>
        <w:autoSpaceDN w:val="0"/>
        <w:spacing w:after="0"/>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rozwojem lub rozbudową istniejącego przedsiębiorstwa;</w:t>
      </w:r>
    </w:p>
    <w:p w:rsidR="00EE1FD0" w:rsidRDefault="00EE1FD0" w:rsidP="00EE1FD0">
      <w:pPr>
        <w:numPr>
          <w:ilvl w:val="0"/>
          <w:numId w:val="13"/>
        </w:numPr>
        <w:suppressAutoHyphens/>
        <w:autoSpaceDE w:val="0"/>
        <w:autoSpaceDN w:val="0"/>
        <w:spacing w:after="0"/>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inwestycjami w sprzęt produkcyjny, nowoczesne maszyny i urządzenia prowadzące do zwiększenia skali działalności firmy lub wzrostu zasięgu oferty firmy.</w:t>
      </w:r>
    </w:p>
    <w:p w:rsidR="00EE1FD0" w:rsidRDefault="00EE1FD0" w:rsidP="00EE1FD0">
      <w:pPr>
        <w:numPr>
          <w:ilvl w:val="0"/>
          <w:numId w:val="11"/>
        </w:numPr>
        <w:suppressAutoHyphens/>
        <w:autoSpaceDE w:val="0"/>
        <w:autoSpaceDN w:val="0"/>
        <w:spacing w:after="0"/>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Udział Pożyczki Rozwojowej w koszcie realizowanego przedsięwzięcia rozwojowego może stanowić do 100% jego wartości.</w:t>
      </w:r>
    </w:p>
    <w:p w:rsidR="00EE1FD0" w:rsidRDefault="00EE1FD0" w:rsidP="00EE1FD0">
      <w:pPr>
        <w:numPr>
          <w:ilvl w:val="0"/>
          <w:numId w:val="11"/>
        </w:numPr>
        <w:suppressAutoHyphens/>
        <w:autoSpaceDE w:val="0"/>
        <w:autoSpaceDN w:val="0"/>
        <w:spacing w:after="240"/>
        <w:jc w:val="both"/>
        <w:textAlignment w:val="baseline"/>
      </w:pPr>
      <w:r>
        <w:rPr>
          <w:rFonts w:ascii="Times New Roman" w:eastAsia="Times New Roman" w:hAnsi="Times New Roman"/>
          <w:sz w:val="24"/>
          <w:szCs w:val="24"/>
          <w:lang w:eastAsia="pl-PL"/>
        </w:rPr>
        <w:t>FRW może odmówić udzielenia pożyczki na sfinansowanie transakcji pomiędzy podmiotami powiązanymi kapitałowo lub osobowo. Powiązania kapitałowe lub osobowe to powiązania pomiędzy Pożyczkobiorcą a innym podmiotem</w:t>
      </w:r>
      <w:r>
        <w:rPr>
          <w:rFonts w:ascii="Times New Roman" w:eastAsia="FreeSans" w:hAnsi="Times New Roman"/>
          <w:sz w:val="24"/>
          <w:szCs w:val="24"/>
          <w:lang w:eastAsia="pl-PL"/>
        </w:rPr>
        <w:t xml:space="preserve">, polegające m.in. na: pozostawaniu w takim stosunku prawnym lub faktycznym, który może budzić uzasadnione wątpliwości, co do bezstronności w wyborze dostawcy/wykonawcy. </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6</w:t>
      </w:r>
    </w:p>
    <w:p w:rsidR="00EE1FD0" w:rsidRDefault="00EE1FD0" w:rsidP="00EE1FD0">
      <w:pPr>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Pożyczka Rozwojowa nie może być przeznaczona na:</w:t>
      </w:r>
    </w:p>
    <w:p w:rsidR="00EE1FD0" w:rsidRDefault="00EE1FD0" w:rsidP="00EE1FD0">
      <w:pPr>
        <w:numPr>
          <w:ilvl w:val="0"/>
          <w:numId w:val="16"/>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wydatków pokrytych uprzednio ze środków EFSI, z innych funduszy, programów, środków i instrumentów Unii Europejskiej lub innych źródeł pomocy krajowej lub zagranicznej;</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prefinansowanie wydatków, na które otrzymano dofinansowanie w formie dotacji lub pomocy zwrotnej;</w:t>
      </w:r>
    </w:p>
    <w:p w:rsidR="00EE1FD0" w:rsidRDefault="00EE1FD0" w:rsidP="00EE1FD0">
      <w:pPr>
        <w:numPr>
          <w:ilvl w:val="0"/>
          <w:numId w:val="15"/>
        </w:numPr>
        <w:suppressAutoHyphens/>
        <w:autoSpaceDE w:val="0"/>
        <w:autoSpaceDN w:val="0"/>
        <w:spacing w:after="0"/>
        <w:jc w:val="both"/>
        <w:textAlignment w:val="baseline"/>
      </w:pPr>
      <w:r>
        <w:rPr>
          <w:rFonts w:ascii="Times New Roman" w:eastAsia="Times New Roman" w:hAnsi="Times New Roman"/>
          <w:sz w:val="24"/>
          <w:szCs w:val="24"/>
          <w:lang w:eastAsia="pl-PL"/>
        </w:rPr>
        <w:t xml:space="preserve">refinansowanie całości lub części wydatków, które na dzień złożenia wniosku o udzielenie </w:t>
      </w:r>
      <w:r>
        <w:rPr>
          <w:rFonts w:ascii="Times New Roman" w:eastAsia="Times New Roman" w:hAnsi="Times New Roman"/>
          <w:sz w:val="24"/>
          <w:lang w:eastAsia="pl-PL"/>
        </w:rPr>
        <w:t xml:space="preserve">Pożyczki Rozwojowej </w:t>
      </w:r>
      <w:r>
        <w:rPr>
          <w:rFonts w:ascii="Times New Roman" w:eastAsia="Times New Roman" w:hAnsi="Times New Roman"/>
          <w:sz w:val="24"/>
          <w:szCs w:val="24"/>
          <w:lang w:eastAsia="pl-PL"/>
        </w:rPr>
        <w:t>zostały już poniesione (tj. opłacone);</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refinansowanie jakichkolwiek pożyczek, kredytów lub rat leasingowych;</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dokonanie spłaty zobowiązań publiczno-prawnych Przedsiębiorcy;</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wydatków niezwiązanych bezpośrednio z celem inwestycji określonym w §5 ust 1 powyżej;</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zakupu aktywów finansowych przeznaczonych do obrotu;</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zakupu nieruchomości przeznaczonych do obrotu lub stanowiące lokatę kapitału;</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kształcenia, szkolenia, szkolenia zawodowego pracowników lub innych przedsięwzięć bezpośrednio objętych zakresem rozporządzenia Parlamentu Europejskiego i Rady (UE) nr 1304/2013 w sprawie Europejskiego Funduszu Społecznego;</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działalności w zakresie wytwarzania, przetwórstwa lub wprowadzania do obrotu przez producenta lub importera tytoniu i wyrobów tytoniowych;</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finansowanie działalności w zakresie produkcji lub wprowadzania do obrotu przez producenta lub importera napojów alkoholowych;</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działalności w zakresie produkcji lub wprowadzania do obrotu przez producenta lub importera treści pornograficznych;</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działalności w zakresie obrotu materiałami wybuchowymi, bronią i amunicją;</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działalności w zakresie gier losowych, zakładów wzajemnych, gier na automatach i gier na automatach o niskich wygranych;</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działalności w zakresie produkcji lub wprowadzania do obrotu przez producenta lub importera środków odurzających, substancji psychotropowych lub prekursorów;</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finansowanie likwidacji lub budowy elektrowni jądrowych;</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finansowanie inwestycji na rzecz redukcji emisji gazów cieplarnianych pochodzących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z listy działań wymienionych w załączniku I do dyrektywy 2003/87/WE;</w:t>
      </w:r>
    </w:p>
    <w:p w:rsidR="00EE1FD0" w:rsidRDefault="00EE1FD0" w:rsidP="00EE1FD0">
      <w:pPr>
        <w:numPr>
          <w:ilvl w:val="0"/>
          <w:numId w:val="15"/>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finansowanie inwestycji w infrastrukturę portów lotniczych, chyba że są one związane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z ochroną środowiska lub towarzyszą im inwestycje niezbędne do łagodzenia lub ograniczenia ich negatywnego oddziaływania na środowisko;</w:t>
      </w:r>
    </w:p>
    <w:p w:rsidR="00EE1FD0" w:rsidRPr="00E30180" w:rsidRDefault="00EE1FD0" w:rsidP="00EE1FD0">
      <w:pPr>
        <w:numPr>
          <w:ilvl w:val="0"/>
          <w:numId w:val="15"/>
        </w:numPr>
        <w:suppressAutoHyphens/>
        <w:autoSpaceDE w:val="0"/>
        <w:autoSpaceDN w:val="0"/>
        <w:jc w:val="both"/>
        <w:textAlignment w:val="baseline"/>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finansowanie inwestycji w infrastrukturę instytucji opiekuńczo – 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Operacji. </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7</w:t>
      </w:r>
    </w:p>
    <w:p w:rsidR="00EE1FD0" w:rsidRDefault="00EE1FD0" w:rsidP="00EE1FD0">
      <w:pPr>
        <w:numPr>
          <w:ilvl w:val="0"/>
          <w:numId w:val="18"/>
        </w:numPr>
        <w:suppressAutoHyphens/>
        <w:autoSpaceDE w:val="0"/>
        <w:autoSpaceDN w:val="0"/>
        <w:spacing w:after="0"/>
        <w:jc w:val="both"/>
        <w:textAlignment w:val="baseline"/>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Finansowanie zakupu gruntów niezabudowanych i zabudowanych w ramach finansowanej inwestycji możliwe jest do wysokości 10 % wypłaconych na rzecz Pożyczkobiorcy </w:t>
      </w:r>
      <w:r>
        <w:rPr>
          <w:rFonts w:ascii="Times New Roman" w:eastAsia="Times New Roman" w:hAnsi="Times New Roman"/>
          <w:iCs/>
          <w:sz w:val="24"/>
          <w:szCs w:val="24"/>
          <w:lang w:eastAsia="pl-PL"/>
        </w:rPr>
        <w:br/>
        <w:t>w ramach pożyczki, przy czym:</w:t>
      </w:r>
    </w:p>
    <w:p w:rsidR="00EE1FD0" w:rsidRDefault="00EE1FD0" w:rsidP="00EE1FD0">
      <w:pPr>
        <w:numPr>
          <w:ilvl w:val="1"/>
          <w:numId w:val="17"/>
        </w:numPr>
        <w:suppressAutoHyphens/>
        <w:autoSpaceDE w:val="0"/>
        <w:autoSpaceDN w:val="0"/>
        <w:spacing w:after="0"/>
        <w:jc w:val="both"/>
        <w:textAlignment w:val="baseline"/>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ograniczenie, o którym mowa powyżej dotyczy wyłącznie nabywania gruntów (zarówno zabudowanych, jak i niezabudowanych). Nie dotyczy natomiast nabywania budynków, lokali, bądź ich części. Ocena, czy ma miejsce nabycie gruntów, czy też budynków, lokali lub ich części, powinna być dokonywana </w:t>
      </w:r>
      <w:r w:rsidR="00851895">
        <w:rPr>
          <w:rFonts w:ascii="Times New Roman" w:eastAsia="Times New Roman" w:hAnsi="Times New Roman"/>
          <w:iCs/>
          <w:sz w:val="24"/>
          <w:szCs w:val="24"/>
          <w:lang w:eastAsia="pl-PL"/>
        </w:rPr>
        <w:br/>
      </w:r>
      <w:r>
        <w:rPr>
          <w:rFonts w:ascii="Times New Roman" w:eastAsia="Times New Roman" w:hAnsi="Times New Roman"/>
          <w:iCs/>
          <w:sz w:val="24"/>
          <w:szCs w:val="24"/>
          <w:lang w:eastAsia="pl-PL"/>
        </w:rPr>
        <w:t>z uwzględnieniem głównego przedmiotu nabycia;</w:t>
      </w:r>
    </w:p>
    <w:p w:rsidR="00EE1FD0" w:rsidRDefault="00EE1FD0" w:rsidP="00EE1FD0">
      <w:pPr>
        <w:numPr>
          <w:ilvl w:val="1"/>
          <w:numId w:val="17"/>
        </w:numPr>
        <w:suppressAutoHyphens/>
        <w:autoSpaceDE w:val="0"/>
        <w:autoSpaceDN w:val="0"/>
        <w:spacing w:after="0"/>
        <w:jc w:val="both"/>
        <w:textAlignment w:val="baseline"/>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finansowane mogą być wyłącznie nieruchomości, w których prowadzona będzie działalność produkcyjna przedsiębiorstwa, rozumiana jako wytwarzanie produktów, świadczenie usług lub obrót towarami, oraz wiążąca się z zastosowaniem zasobów przedsiębiorstwa, takich jak np. urządzenia, siła robocza, techniki wytwórcze, sieć informacyjna, materiały i surowce;</w:t>
      </w:r>
    </w:p>
    <w:p w:rsidR="00EE1FD0" w:rsidRDefault="00EE1FD0" w:rsidP="00EE1FD0">
      <w:pPr>
        <w:numPr>
          <w:ilvl w:val="1"/>
          <w:numId w:val="17"/>
        </w:numPr>
        <w:suppressAutoHyphens/>
        <w:autoSpaceDE w:val="0"/>
        <w:autoSpaceDN w:val="0"/>
        <w:spacing w:after="0"/>
        <w:jc w:val="both"/>
        <w:textAlignment w:val="baseline"/>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finansowane mogą być wyłącznie nieruchomości niemające przeznaczenia mieszkalnego;</w:t>
      </w:r>
    </w:p>
    <w:p w:rsidR="00EE1FD0" w:rsidRDefault="00EE1FD0" w:rsidP="00EE1FD0">
      <w:pPr>
        <w:numPr>
          <w:ilvl w:val="1"/>
          <w:numId w:val="17"/>
        </w:numPr>
        <w:suppressAutoHyphens/>
        <w:autoSpaceDE w:val="0"/>
        <w:autoSpaceDN w:val="0"/>
        <w:spacing w:after="0"/>
        <w:jc w:val="both"/>
        <w:textAlignment w:val="baseline"/>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finansowaniu nie podlegają nieruchomości przeznaczone do obrotu lub stanowiące lokatę kapitału. </w:t>
      </w:r>
    </w:p>
    <w:p w:rsidR="00EE1FD0" w:rsidRPr="009E3659" w:rsidRDefault="00EE1FD0" w:rsidP="009E3659">
      <w:pPr>
        <w:pStyle w:val="Akapitzlist"/>
        <w:numPr>
          <w:ilvl w:val="0"/>
          <w:numId w:val="17"/>
        </w:numPr>
        <w:suppressAutoHyphens/>
        <w:autoSpaceDE w:val="0"/>
        <w:autoSpaceDN w:val="0"/>
        <w:spacing w:after="0"/>
        <w:jc w:val="both"/>
        <w:textAlignment w:val="baseline"/>
        <w:rPr>
          <w:rFonts w:ascii="Times New Roman" w:eastAsia="Times New Roman" w:hAnsi="Times New Roman"/>
          <w:bCs/>
          <w:sz w:val="24"/>
          <w:szCs w:val="24"/>
          <w:lang w:eastAsia="pl-PL"/>
        </w:rPr>
      </w:pPr>
      <w:bookmarkStart w:id="0" w:name="_GoBack"/>
      <w:bookmarkEnd w:id="0"/>
      <w:r w:rsidRPr="009E3659">
        <w:rPr>
          <w:rFonts w:ascii="Times New Roman" w:eastAsia="Times New Roman" w:hAnsi="Times New Roman"/>
          <w:bCs/>
          <w:sz w:val="24"/>
          <w:szCs w:val="24"/>
          <w:lang w:eastAsia="pl-PL"/>
        </w:rPr>
        <w:t>Finansowanie kapitału obrotowego jest możliwe:</w:t>
      </w:r>
    </w:p>
    <w:p w:rsidR="00EE1FD0" w:rsidRDefault="00EE1FD0" w:rsidP="00EE1FD0">
      <w:pPr>
        <w:numPr>
          <w:ilvl w:val="1"/>
          <w:numId w:val="19"/>
        </w:numPr>
        <w:suppressAutoHyphens/>
        <w:autoSpaceDE w:val="0"/>
        <w:autoSpaceDN w:val="0"/>
        <w:spacing w:after="0"/>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lastRenderedPageBreak/>
        <w:t>dla Pożyczki Rozwojowej o wartości do 500 000,00 zł wyłącznie do wysokości 50% Pożyczki Rozwojowej,</w:t>
      </w:r>
    </w:p>
    <w:p w:rsidR="00EE1FD0" w:rsidRDefault="00EE1FD0" w:rsidP="00EE1FD0">
      <w:pPr>
        <w:numPr>
          <w:ilvl w:val="1"/>
          <w:numId w:val="19"/>
        </w:numPr>
        <w:suppressAutoHyphens/>
        <w:autoSpaceDE w:val="0"/>
        <w:autoSpaceDN w:val="0"/>
        <w:spacing w:after="0"/>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dla Pożyczki Rozwojowej o wartości powyżej 500 000,00 zł wyłącznie do wysokości 25% Pożyczki Rozwojowej,</w:t>
      </w:r>
    </w:p>
    <w:p w:rsidR="00EE1FD0" w:rsidRDefault="00EE1FD0" w:rsidP="00EE1FD0">
      <w:pPr>
        <w:autoSpaceDE w:val="0"/>
        <w:ind w:left="72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przy czym przeznaczenie kapitału obrotowego jest bezpośrednio związane z realizacją przedsięwzięcia rozwojowego, na które zostało przyznane finansowanie.</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8</w:t>
      </w:r>
    </w:p>
    <w:p w:rsidR="00EE1FD0" w:rsidRDefault="00EE1FD0" w:rsidP="00EE1FD0">
      <w:pPr>
        <w:autoSpaceDE w:val="0"/>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Pożyczka Rozwojowa może być udzielona w wysokości niezbędnej i wystarczającej (łącznie ze środkami własnymi Przedsiębiorcy) do osiągnięcia zamierzonych działań oraz celu pomocy finansowej.</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9</w:t>
      </w:r>
    </w:p>
    <w:p w:rsidR="00EE1FD0" w:rsidRDefault="00EE1FD0" w:rsidP="00EE1FD0">
      <w:pPr>
        <w:pStyle w:val="Default"/>
        <w:spacing w:after="97" w:line="276" w:lineRule="auto"/>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Z Pożyczki Rozwojowej finansowane są wydatki w kwotach brutto, tj. z podatkiem VAT, bez względu na to czy Pożyczkobiorca ma prawną możliwość odzyskania naliczonego podatku VAT.</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10</w:t>
      </w:r>
    </w:p>
    <w:p w:rsidR="00EE1FD0" w:rsidRDefault="00EE1FD0" w:rsidP="00EE1FD0">
      <w:pPr>
        <w:pStyle w:val="Default"/>
        <w:spacing w:after="240" w:line="276" w:lineRule="auto"/>
        <w:jc w:val="both"/>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Finansowanie z Pożyczki Rozwojowej można łączyć z finansowaniem z innego instrumentu finansowego lub z dotacji w ramach tego samego wydatku ponoszonego przez Pożyczkobiorcę, pod warunkiem, że suma wszystkich połączonych form wsparcia nie przekracza całkowitej kwoty tego wydatku oraz spełnione są wszystkie mające zastosowanie zasady unijne dotyczące pomocy państwa.</w:t>
      </w:r>
    </w:p>
    <w:p w:rsidR="00EE1FD0" w:rsidRDefault="00EE1FD0" w:rsidP="00EE1FD0">
      <w:pPr>
        <w:autoSpaceDE w:val="0"/>
        <w:spacing w:after="240"/>
        <w:jc w:val="center"/>
        <w:rPr>
          <w:rFonts w:ascii="Times New Roman" w:eastAsia="Times New Roman" w:hAnsi="Times New Roman"/>
          <w:b/>
          <w:bCs/>
          <w:lang w:eastAsia="pl-PL"/>
        </w:rPr>
      </w:pPr>
      <w:r>
        <w:rPr>
          <w:rFonts w:ascii="Times New Roman" w:eastAsia="Times New Roman" w:hAnsi="Times New Roman"/>
          <w:b/>
          <w:bCs/>
          <w:lang w:eastAsia="pl-PL"/>
        </w:rPr>
        <w:t>IV. Zasady udzielania i obsługi pożyczek</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11</w:t>
      </w:r>
    </w:p>
    <w:p w:rsidR="00EE1FD0" w:rsidRDefault="00EE1FD0" w:rsidP="00EE1FD0">
      <w:pPr>
        <w:autoSpaceDE w:val="0"/>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Pożyczki Rozwojowej udziela się na podstawie wniosku o pożyczkę wraz z wymaganymi załącznikami, po przeprowadzeniu analizy ryzyka niespłacenia zaciągniętego przez Przedsiębiorcę zobowiązania, zgodnie ze stosowaną przez FRW metodologią oceny ryzyka</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po ustanowieniu należytego zabezpieczenia spłaty zobowiązania. Na etapie oceny wniosku FRW ma prawo do przeprowadzenia wizyty w siedzibie wnioskodawcy lub miejscu prowadzenia działalności przez wnioskodawcę. </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12</w:t>
      </w:r>
    </w:p>
    <w:p w:rsidR="00EE1FD0" w:rsidRDefault="00EE1FD0" w:rsidP="00EE1FD0">
      <w:pPr>
        <w:numPr>
          <w:ilvl w:val="0"/>
          <w:numId w:val="22"/>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Pożyczki Rozwojowe udziela się:</w:t>
      </w:r>
    </w:p>
    <w:p w:rsidR="00EE1FD0" w:rsidRDefault="00EE1FD0" w:rsidP="00EE1FD0">
      <w:pPr>
        <w:numPr>
          <w:ilvl w:val="0"/>
          <w:numId w:val="24"/>
        </w:numPr>
        <w:suppressAutoHyphens/>
        <w:autoSpaceDE w:val="0"/>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p w:rsidR="00EE1FD0" w:rsidRDefault="00EE1FD0" w:rsidP="00EE1FD0">
      <w:pPr>
        <w:numPr>
          <w:ilvl w:val="0"/>
          <w:numId w:val="23"/>
        </w:numPr>
        <w:suppressAutoHyphens/>
        <w:autoSpaceDE w:val="0"/>
        <w:autoSpaceDN w:val="0"/>
        <w:spacing w:after="0"/>
        <w:ind w:left="709"/>
        <w:jc w:val="both"/>
        <w:textAlignment w:val="baseline"/>
      </w:pPr>
      <w:r>
        <w:rPr>
          <w:rFonts w:ascii="Times New Roman" w:eastAsia="Times New Roman" w:hAnsi="Times New Roman"/>
          <w:sz w:val="24"/>
          <w:szCs w:val="24"/>
          <w:lang w:eastAsia="pl-PL"/>
        </w:rPr>
        <w:lastRenderedPageBreak/>
        <w:t xml:space="preserve">na warunkach korzystniejszych niż rynkowe, wyłącznie w obszarach preferencji: Inwestycje w Mikroprzedsiębiorstwa, zgodnie z zasadami udzielania pomocy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 xml:space="preserve">, o których mowa w Rozporządzeniu Komisji (UE) nr 1407/2013 z dnia 18 grudnia 2013 r. w sprawie stosowania art. 107 i 108 Traktatu o funkcjonowaniu Unii Europejskiej do pomocy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 xml:space="preserve"> oraz Rozporządzenia Ministra Infrastruktury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Rozwoju z dnia 19 marca 2015 r. w sprawie udzielania pomocy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 xml:space="preserve"> w ramach regionalnych programów operacyjnych na lata 2014–2020 (Dz.U. 2015 poz. 488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zmianami).</w:t>
      </w:r>
    </w:p>
    <w:p w:rsidR="00EE1FD0" w:rsidRDefault="00EE1FD0" w:rsidP="00EE1FD0">
      <w:pPr>
        <w:numPr>
          <w:ilvl w:val="0"/>
          <w:numId w:val="21"/>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Oprocentowanie Pożyczki Rozwojowej udzielanej na zasadach korzystniejszych niż rynkowe jest stałe w całym okresie jej obowiązywania i ustalone jest w wysokości stopy bazowej dla pożyczek udzielanych w złotych polskich z dnia udzielenia, przy czym wysokość stopy bazowej określona jest przez Komisję Europejską zgodnie Komunikatem w sprawie zmiany metody ustalania stóp referencyjnych i dyskontowych nr 2008/C 14/02 o którym mowa w ust. 1 pkt a) powyżej.</w:t>
      </w:r>
    </w:p>
    <w:p w:rsidR="00EE1FD0" w:rsidRDefault="00EE1FD0" w:rsidP="00EE1FD0">
      <w:pPr>
        <w:numPr>
          <w:ilvl w:val="0"/>
          <w:numId w:val="21"/>
        </w:numPr>
        <w:suppressAutoHyphens/>
        <w:autoSpaceDE w:val="0"/>
        <w:autoSpaceDN w:val="0"/>
        <w:jc w:val="both"/>
        <w:textAlignment w:val="baseline"/>
      </w:pPr>
      <w:r>
        <w:rPr>
          <w:rFonts w:ascii="Times New Roman" w:eastAsia="Times New Roman" w:hAnsi="Times New Roman"/>
          <w:sz w:val="24"/>
          <w:szCs w:val="24"/>
          <w:lang w:eastAsia="pl-PL"/>
        </w:rPr>
        <w:t xml:space="preserve">W przypadku niespełnienia przez Przedsiębiorcę jakiegokolwiek z warunków umożliwiających udzielenie pomocy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 finansowanie jest udzielane na zasadach rynkowych.</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13</w:t>
      </w:r>
    </w:p>
    <w:p w:rsidR="00EE1FD0" w:rsidRDefault="00EE1FD0" w:rsidP="00EE1FD0">
      <w:pPr>
        <w:autoSpaceDE w:val="0"/>
        <w:spacing w:after="240"/>
        <w:jc w:val="both"/>
      </w:pPr>
      <w:r>
        <w:rPr>
          <w:rFonts w:ascii="Times New Roman" w:eastAsia="Times New Roman" w:hAnsi="Times New Roman"/>
          <w:sz w:val="24"/>
          <w:szCs w:val="24"/>
          <w:lang w:eastAsia="pl-PL"/>
        </w:rPr>
        <w:t>FRW nie pobiera żadnych opłat i prowizji od</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kwoty przyznanej pożyczki. Nie dotyczy to odrębnie uregulowanych czynności windykacyjnych.</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14</w:t>
      </w:r>
    </w:p>
    <w:p w:rsidR="00EE1FD0" w:rsidRDefault="00EE1FD0" w:rsidP="00EE1FD0">
      <w:pPr>
        <w:numPr>
          <w:ilvl w:val="0"/>
          <w:numId w:val="26"/>
        </w:numPr>
        <w:suppressAutoHyphens/>
        <w:autoSpaceDE w:val="0"/>
        <w:autoSpaceDN w:val="0"/>
        <w:spacing w:after="0"/>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Jeden Przedsiębiorca może otrzymać więcej niż jedną Pożyczkę Rozwojową, przy czym łączna wartość Pożyczek Rozwojowych udzielonych jednemu Przedsiębiorcy nie może być wyższa niż 1 000 000,00 zł. W przypadku udzielenia Przedsiębiorcy więcej niż jednej Pożyczki Rozwojowej, każda z nich musi być przeznaczona na inny cel.</w:t>
      </w:r>
    </w:p>
    <w:p w:rsidR="00EE1FD0" w:rsidRDefault="00EE1FD0" w:rsidP="00EE1FD0">
      <w:pPr>
        <w:numPr>
          <w:ilvl w:val="0"/>
          <w:numId w:val="25"/>
        </w:numPr>
        <w:suppressAutoHyphens/>
        <w:autoSpaceDE w:val="0"/>
        <w:autoSpaceDN w:val="0"/>
        <w:spacing w:after="0"/>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Maksymalny okres spłaty Pożyczki Rozwojowej wynosi 84 miesięcy, od dnia jej uruchomienia, tj. wypłaty jakiejkolwiek kwoty Pożyczki Rozwojowej.</w:t>
      </w:r>
    </w:p>
    <w:p w:rsidR="00EE1FD0" w:rsidRDefault="00EE1FD0" w:rsidP="00EE1FD0">
      <w:pPr>
        <w:numPr>
          <w:ilvl w:val="0"/>
          <w:numId w:val="25"/>
        </w:numPr>
        <w:suppressAutoHyphens/>
        <w:autoSpaceDE w:val="0"/>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 uzasadnionych przypadkach FRW może udzielić karencji w spłacie kapitału Pożyczki Rozwojowej. Maksymalny okres karencji w spłacie rat kapitałowych wynosi 6 miesięcy i nie wydłuża okresu spłaty Pożyczki Rozwojowej.</w:t>
      </w: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15</w:t>
      </w:r>
    </w:p>
    <w:p w:rsidR="00EE1FD0" w:rsidRDefault="00EE1FD0" w:rsidP="00EE1FD0">
      <w:pPr>
        <w:autoSpaceDE w:val="0"/>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Spłata rat kapitałowych i odsetkowych następuje w okresach miesięcznych zgodnie z terminami określonymi w harmonogramie spłat.</w:t>
      </w: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16</w:t>
      </w:r>
    </w:p>
    <w:p w:rsidR="00EE1FD0" w:rsidRDefault="00EE1FD0" w:rsidP="00EE1FD0">
      <w:pPr>
        <w:autoSpaceDE w:val="0"/>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Dla potrzeb wyliczania odsetek od kapitału i odsetek przeterminowanych określa się, że rok stanowi 360 dni, kwartał 90 dni, a miesiąc 30 dni.</w:t>
      </w:r>
    </w:p>
    <w:p w:rsidR="00EE1FD0" w:rsidRDefault="00EE1FD0" w:rsidP="00EE1FD0">
      <w:pPr>
        <w:autoSpaceDE w:val="0"/>
        <w:spacing w:after="240"/>
        <w:jc w:val="both"/>
        <w:rPr>
          <w:rFonts w:ascii="Times New Roman" w:eastAsia="Times New Roman" w:hAnsi="Times New Roman"/>
          <w:sz w:val="24"/>
          <w:szCs w:val="24"/>
          <w:lang w:eastAsia="pl-PL"/>
        </w:rPr>
      </w:pPr>
    </w:p>
    <w:p w:rsidR="00EE1FD0" w:rsidRDefault="00EE1FD0" w:rsidP="00EE1FD0">
      <w:pPr>
        <w:autoSpaceDE w:val="0"/>
        <w:spacing w:after="240"/>
        <w:jc w:val="both"/>
        <w:rPr>
          <w:rFonts w:ascii="Times New Roman" w:eastAsia="Times New Roman" w:hAnsi="Times New Roman"/>
          <w:sz w:val="24"/>
          <w:szCs w:val="24"/>
          <w:lang w:eastAsia="pl-PL"/>
        </w:rPr>
      </w:pP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lastRenderedPageBreak/>
        <w:t>§ 17</w:t>
      </w:r>
    </w:p>
    <w:p w:rsidR="00EE1FD0" w:rsidRDefault="00EE1FD0" w:rsidP="00EE1FD0">
      <w:pPr>
        <w:numPr>
          <w:ilvl w:val="0"/>
          <w:numId w:val="28"/>
        </w:numPr>
        <w:tabs>
          <w:tab w:val="left" w:pos="-436"/>
        </w:tabs>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zabezpieczenie spłaty udzielanych pożyczek przyjmuje się przewidziane prawem formy: weksel własny, przewłaszczenie, poręczenie cywilne lub wekslowe, hipotekę, blokadę środków na rachunku, blokadę środków w funduszach inwestycyjnych, cesję należności, cesję praw i inne. </w:t>
      </w:r>
    </w:p>
    <w:p w:rsidR="00EE1FD0" w:rsidRDefault="00EE1FD0" w:rsidP="00EE1FD0">
      <w:pPr>
        <w:numPr>
          <w:ilvl w:val="0"/>
          <w:numId w:val="27"/>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Ostateczna forma zabezpieczenia uzależniona jest od akceptacji FRW. </w:t>
      </w:r>
    </w:p>
    <w:p w:rsidR="00EE1FD0" w:rsidRDefault="00EE1FD0" w:rsidP="00EE1FD0">
      <w:pPr>
        <w:numPr>
          <w:ilvl w:val="0"/>
          <w:numId w:val="27"/>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poręczenia cywilnego lub wekslowego osoby fizycznej pozostającej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związku małżeńskim, w którym ustawowa wspólność małżeńska nie została ograniczona ani wyłączona, wymagane jest poręczenie obojga małżonków. </w:t>
      </w:r>
    </w:p>
    <w:p w:rsidR="00EE1FD0" w:rsidRDefault="00EE1FD0" w:rsidP="00EE1FD0">
      <w:pPr>
        <w:numPr>
          <w:ilvl w:val="0"/>
          <w:numId w:val="27"/>
        </w:numPr>
        <w:suppressAutoHyphens/>
        <w:autoSpaceDE w:val="0"/>
        <w:autoSpaceDN w:val="0"/>
        <w:spacing w:after="240"/>
        <w:jc w:val="both"/>
        <w:textAlignment w:val="baseline"/>
      </w:pPr>
      <w:r>
        <w:rPr>
          <w:rFonts w:ascii="Times New Roman" w:eastAsia="Times New Roman" w:hAnsi="Times New Roman"/>
          <w:sz w:val="24"/>
          <w:szCs w:val="24"/>
          <w:lang w:eastAsia="pl-PL"/>
        </w:rPr>
        <w:t>W przypadku udzielenia Pożyczki Rozwojowej w wysokości nie przekraczającej kwoty 20.000,00 zł, wystarczające jest zabezpieczenie w formie weksla własnego. FRW ma jednak prawo wymagać dodatkowego zabezpieczenia, w zależności od oceny ryzyka związanego z transakcją.</w:t>
      </w:r>
    </w:p>
    <w:p w:rsidR="00EE1FD0" w:rsidRDefault="00EE1FD0" w:rsidP="00EE1FD0">
      <w:pPr>
        <w:autoSpaceDE w:val="0"/>
        <w:spacing w:after="240"/>
        <w:jc w:val="both"/>
      </w:pPr>
    </w:p>
    <w:p w:rsidR="00EE1FD0" w:rsidRDefault="00EE1FD0" w:rsidP="00EE1FD0">
      <w:pPr>
        <w:autoSpaceDE w:val="0"/>
        <w:spacing w:before="240" w:after="240"/>
        <w:jc w:val="center"/>
        <w:rPr>
          <w:rFonts w:ascii="Times New Roman" w:eastAsia="Times New Roman" w:hAnsi="Times New Roman"/>
          <w:b/>
          <w:bCs/>
          <w:lang w:eastAsia="pl-PL"/>
        </w:rPr>
      </w:pPr>
      <w:r>
        <w:rPr>
          <w:rFonts w:ascii="Times New Roman" w:eastAsia="Times New Roman" w:hAnsi="Times New Roman"/>
          <w:b/>
          <w:bCs/>
          <w:lang w:eastAsia="pl-PL"/>
        </w:rPr>
        <w:t>V. Postępowanie decyzyjne</w:t>
      </w:r>
    </w:p>
    <w:p w:rsidR="00EE1FD0" w:rsidRDefault="00EE1FD0" w:rsidP="00EE1FD0">
      <w:pPr>
        <w:autoSpaceDE w:val="0"/>
        <w:spacing w:before="240"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18</w:t>
      </w:r>
    </w:p>
    <w:p w:rsidR="00EE1FD0" w:rsidRDefault="00EE1FD0" w:rsidP="00EE1FD0">
      <w:pPr>
        <w:numPr>
          <w:ilvl w:val="0"/>
          <w:numId w:val="30"/>
        </w:numPr>
        <w:suppressAutoHyphens/>
        <w:autoSpaceDE w:val="0"/>
        <w:autoSpaceDN w:val="0"/>
        <w:spacing w:after="0"/>
        <w:ind w:left="426"/>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Formularze wniosków o przyznanie pożyczki dostępne są w siedzibie FRW, współpracujących z FRW ośrodkach wspierania przedsiębiorczości oraz na stronach internetowych FRW. Wzór formularza wniosku uchwala Zarząd FRW w drodze Uchwały.</w:t>
      </w:r>
    </w:p>
    <w:p w:rsidR="00EE1FD0" w:rsidRDefault="00EE1FD0" w:rsidP="00EE1FD0">
      <w:pPr>
        <w:numPr>
          <w:ilvl w:val="0"/>
          <w:numId w:val="29"/>
        </w:numPr>
        <w:suppressAutoHyphens/>
        <w:autoSpaceDE w:val="0"/>
        <w:autoSpaceDN w:val="0"/>
        <w:ind w:left="426"/>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Wnioski o przyznanie pożyczki z Funduszu Pożyczkowego RPO IX należy składać w siedzibie FRW lub we współpracujących z FRW ośrodkach wspierania przedsiębiorczości.</w:t>
      </w:r>
    </w:p>
    <w:p w:rsidR="00EE1FD0" w:rsidRDefault="00EE1FD0" w:rsidP="00EE1FD0">
      <w:pPr>
        <w:autoSpaceDE w:val="0"/>
        <w:spacing w:after="0"/>
        <w:jc w:val="center"/>
      </w:pPr>
      <w:r>
        <w:rPr>
          <w:rFonts w:ascii="Times New Roman" w:eastAsia="Times New Roman" w:hAnsi="Times New Roman"/>
          <w:b/>
          <w:bCs/>
          <w:szCs w:val="24"/>
          <w:lang w:eastAsia="pl-PL"/>
        </w:rPr>
        <w:t>§ 19</w:t>
      </w:r>
    </w:p>
    <w:p w:rsidR="00EE1FD0" w:rsidRDefault="00EE1FD0" w:rsidP="00EE1FD0">
      <w:pPr>
        <w:numPr>
          <w:ilvl w:val="0"/>
          <w:numId w:val="32"/>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Warunkiem przyjęcia wniosku do oceny przez FRW jest prawidłowo wypełniony formularz wniosku wraz ze wszystkimi niezbędnymi załącznikami, wyszczególnionymi na ostatniej stronie wniosku, w tym: </w:t>
      </w:r>
    </w:p>
    <w:p w:rsidR="00EE1FD0" w:rsidRDefault="00EE1FD0" w:rsidP="00EE1FD0">
      <w:pPr>
        <w:numPr>
          <w:ilvl w:val="0"/>
          <w:numId w:val="34"/>
        </w:numPr>
        <w:suppressAutoHyphens/>
        <w:autoSpaceDE w:val="0"/>
        <w:autoSpaceDN w:val="0"/>
        <w:spacing w:after="0"/>
        <w:ind w:left="709"/>
        <w:jc w:val="both"/>
        <w:textAlignment w:val="baseline"/>
      </w:pPr>
      <w:r>
        <w:rPr>
          <w:rFonts w:ascii="Times New Roman" w:eastAsia="Times New Roman" w:hAnsi="Times New Roman"/>
          <w:sz w:val="24"/>
          <w:szCs w:val="24"/>
          <w:lang w:eastAsia="pl-PL"/>
        </w:rPr>
        <w:t xml:space="preserve">w przypadku Przedsiębiorcy ubiegającego się o pomoc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 xml:space="preserve"> - formularz informacji przedstawianych przy ubieganiu się o pomoc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w:t>
      </w:r>
    </w:p>
    <w:p w:rsidR="00EE1FD0" w:rsidRDefault="00EE1FD0" w:rsidP="00EE1FD0">
      <w:pPr>
        <w:numPr>
          <w:ilvl w:val="0"/>
          <w:numId w:val="33"/>
        </w:numPr>
        <w:suppressAutoHyphens/>
        <w:autoSpaceDE w:val="0"/>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określające sytuację gospodarczą i finansową podmiotu gospodarczego;</w:t>
      </w:r>
    </w:p>
    <w:p w:rsidR="00EE1FD0" w:rsidRDefault="00EE1FD0" w:rsidP="00EE1FD0">
      <w:pPr>
        <w:numPr>
          <w:ilvl w:val="0"/>
          <w:numId w:val="33"/>
        </w:numPr>
        <w:suppressAutoHyphens/>
        <w:autoSpaceDE w:val="0"/>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propozycje dwóch form prawnego zabezpieczenia pożyczki wraz z odsetkami.</w:t>
      </w:r>
    </w:p>
    <w:p w:rsidR="00EE1FD0" w:rsidRDefault="00EE1FD0" w:rsidP="00EE1FD0">
      <w:pPr>
        <w:numPr>
          <w:ilvl w:val="0"/>
          <w:numId w:val="31"/>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informacje podane we wniosku powinny być uwiarygodnione odpowiednimi dokumentami. W szczególności dotyczy to: </w:t>
      </w:r>
    </w:p>
    <w:p w:rsidR="00EE1FD0" w:rsidRDefault="00EE1FD0" w:rsidP="00EE1FD0">
      <w:pPr>
        <w:numPr>
          <w:ilvl w:val="0"/>
          <w:numId w:val="36"/>
        </w:numPr>
        <w:tabs>
          <w:tab w:val="left" w:pos="709"/>
        </w:tabs>
        <w:suppressAutoHyphens/>
        <w:autoSpaceDE w:val="0"/>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zakresu rzeczowego inwestycji;</w:t>
      </w:r>
    </w:p>
    <w:p w:rsidR="00EE1FD0" w:rsidRDefault="00EE1FD0" w:rsidP="00EE1FD0">
      <w:pPr>
        <w:numPr>
          <w:ilvl w:val="0"/>
          <w:numId w:val="35"/>
        </w:numPr>
        <w:tabs>
          <w:tab w:val="left" w:pos="709"/>
        </w:tabs>
        <w:suppressAutoHyphens/>
        <w:autoSpaceDE w:val="0"/>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wydatków inwestycyjnych i źródeł finansowania inwestycji;</w:t>
      </w:r>
    </w:p>
    <w:p w:rsidR="00EE1FD0" w:rsidRDefault="00EE1FD0" w:rsidP="00EE1FD0">
      <w:pPr>
        <w:numPr>
          <w:ilvl w:val="0"/>
          <w:numId w:val="35"/>
        </w:numPr>
        <w:tabs>
          <w:tab w:val="left" w:pos="709"/>
        </w:tabs>
        <w:suppressAutoHyphens/>
        <w:autoSpaceDE w:val="0"/>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pozwolenia, licencje i koncesje wymagane przepisami prawa;</w:t>
      </w:r>
    </w:p>
    <w:p w:rsidR="00EE1FD0" w:rsidRDefault="00EE1FD0" w:rsidP="00EE1FD0">
      <w:pPr>
        <w:numPr>
          <w:ilvl w:val="0"/>
          <w:numId w:val="35"/>
        </w:numPr>
        <w:tabs>
          <w:tab w:val="left" w:pos="709"/>
        </w:tabs>
        <w:suppressAutoHyphens/>
        <w:autoSpaceDE w:val="0"/>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zaciągniętych zobowiązań kredytowych i pożyczkowych oraz ich obsługi;</w:t>
      </w:r>
    </w:p>
    <w:p w:rsidR="00EE1FD0" w:rsidRDefault="00EE1FD0" w:rsidP="00EE1FD0">
      <w:pPr>
        <w:numPr>
          <w:ilvl w:val="0"/>
          <w:numId w:val="35"/>
        </w:numPr>
        <w:tabs>
          <w:tab w:val="left" w:pos="709"/>
        </w:tabs>
        <w:suppressAutoHyphens/>
        <w:autoSpaceDE w:val="0"/>
        <w:autoSpaceDN w:val="0"/>
        <w:spacing w:after="240"/>
        <w:ind w:left="709"/>
        <w:jc w:val="both"/>
        <w:textAlignment w:val="baseline"/>
      </w:pPr>
      <w:r>
        <w:rPr>
          <w:rFonts w:ascii="Times New Roman" w:eastAsia="Times New Roman" w:hAnsi="Times New Roman"/>
          <w:sz w:val="24"/>
          <w:szCs w:val="24"/>
          <w:lang w:eastAsia="pl-PL"/>
        </w:rPr>
        <w:t xml:space="preserve">uzyskanej wcześniej pomocy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 xml:space="preserve">, w przypadku Przedsiębiorców ubiegających się o pożyczkę w ramach pomocy </w:t>
      </w:r>
      <w:r>
        <w:rPr>
          <w:rFonts w:ascii="Times New Roman" w:eastAsia="Times New Roman" w:hAnsi="Times New Roman"/>
          <w:i/>
          <w:sz w:val="24"/>
          <w:szCs w:val="24"/>
          <w:lang w:eastAsia="pl-PL"/>
        </w:rPr>
        <w:t xml:space="preserve">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lastRenderedPageBreak/>
        <w:t>§ 20</w:t>
      </w:r>
    </w:p>
    <w:p w:rsidR="00EE1FD0" w:rsidRDefault="00EE1FD0" w:rsidP="00EE1FD0">
      <w:pPr>
        <w:autoSpaceDE w:val="0"/>
        <w:spacing w:after="240"/>
        <w:jc w:val="both"/>
        <w:rPr>
          <w:rFonts w:ascii="Times New Roman" w:eastAsia="Times New Roman" w:hAnsi="Times New Roman"/>
          <w:bCs/>
          <w:sz w:val="24"/>
          <w:lang w:eastAsia="pl-PL"/>
        </w:rPr>
      </w:pPr>
      <w:r>
        <w:rPr>
          <w:rFonts w:ascii="Times New Roman" w:eastAsia="Times New Roman" w:hAnsi="Times New Roman"/>
          <w:bCs/>
          <w:sz w:val="24"/>
          <w:lang w:eastAsia="pl-PL"/>
        </w:rPr>
        <w:t xml:space="preserve">Na podstawie dokumentów przedstawionych przez wnioskodawcę, w FRW zostanie dokonana ocena ekonomiczno-finansowa projektu i możliwości spłaty pożyczki w planowanym terminie. </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21</w:t>
      </w:r>
    </w:p>
    <w:p w:rsidR="00EE1FD0" w:rsidRDefault="00EE1FD0" w:rsidP="00EE1FD0">
      <w:pPr>
        <w:autoSpaceDE w:val="0"/>
        <w:spacing w:after="240"/>
        <w:jc w:val="both"/>
        <w:rPr>
          <w:rFonts w:ascii="Times New Roman" w:eastAsia="Times New Roman" w:hAnsi="Times New Roman"/>
          <w:bCs/>
          <w:sz w:val="24"/>
          <w:lang w:eastAsia="pl-PL"/>
        </w:rPr>
      </w:pPr>
      <w:r>
        <w:rPr>
          <w:rFonts w:ascii="Times New Roman" w:eastAsia="Times New Roman" w:hAnsi="Times New Roman"/>
          <w:bCs/>
          <w:sz w:val="24"/>
          <w:lang w:eastAsia="pl-PL"/>
        </w:rPr>
        <w:t>FRW zastrzega sobie możliwość zasięgania opinii o wnioskującym podmiocie w wywiadowniach gospodarczych i jednostkach współpracujących z wnioskującym. Wnioskodawca składający wniosek o pożyczkę wyraża zgodę na kontrolę prowadzonych ksiąg handlowych oraz wszystkich innych dokumentów, pozostających w związku z prowadzoną działalnością, na którą udzielono pożyczkę. Dokumenty i informacje udostępniane będą na każde żądanie FRW.</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22</w:t>
      </w:r>
    </w:p>
    <w:p w:rsidR="00EE1FD0" w:rsidRDefault="00EE1FD0" w:rsidP="00EE1FD0">
      <w:pPr>
        <w:autoSpaceDE w:val="0"/>
        <w:spacing w:after="240"/>
        <w:jc w:val="both"/>
        <w:rPr>
          <w:rFonts w:ascii="Times New Roman" w:eastAsia="Times New Roman" w:hAnsi="Times New Roman"/>
          <w:bCs/>
          <w:sz w:val="24"/>
          <w:lang w:eastAsia="pl-PL"/>
        </w:rPr>
      </w:pPr>
      <w:r>
        <w:rPr>
          <w:rFonts w:ascii="Times New Roman" w:eastAsia="Times New Roman" w:hAnsi="Times New Roman"/>
          <w:bCs/>
          <w:sz w:val="24"/>
          <w:lang w:eastAsia="pl-PL"/>
        </w:rPr>
        <w:t>Oceniony wniosek jest rozpatrywany przez Komisję Pożyczkową powoływaną przez Zarząd FRW. Stanowisko Komisji Pożyczkowej w sprawie złożonego wniosku, zawarte w Przewodniku usługi finansowej, zostaje przedłożone Zarządowi FRW.</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23</w:t>
      </w:r>
    </w:p>
    <w:p w:rsidR="00EE1FD0" w:rsidRDefault="00EE1FD0" w:rsidP="00EE1FD0">
      <w:pPr>
        <w:numPr>
          <w:ilvl w:val="1"/>
          <w:numId w:val="38"/>
        </w:numPr>
        <w:suppressAutoHyphens/>
        <w:autoSpaceDE w:val="0"/>
        <w:autoSpaceDN w:val="0"/>
        <w:spacing w:after="0"/>
        <w:ind w:left="426" w:hanging="426"/>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 xml:space="preserve">Wnioski o pożyczkę rozpatruje Zarząd FRW. </w:t>
      </w:r>
    </w:p>
    <w:p w:rsidR="00EE1FD0" w:rsidRDefault="00EE1FD0" w:rsidP="00EE1FD0">
      <w:pPr>
        <w:numPr>
          <w:ilvl w:val="1"/>
          <w:numId w:val="37"/>
        </w:numPr>
        <w:suppressAutoHyphens/>
        <w:autoSpaceDE w:val="0"/>
        <w:autoSpaceDN w:val="0"/>
        <w:spacing w:after="0"/>
        <w:ind w:left="426" w:hanging="426"/>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Zarząd FRW w ciągu 30 dni od złożenia kompletu dokumentów podejmie decyzję o udzieleniu bądź o odmowie udzielenia pożyczki.</w:t>
      </w:r>
    </w:p>
    <w:p w:rsidR="00EE1FD0" w:rsidRPr="00EE1FD0" w:rsidRDefault="00EE1FD0" w:rsidP="00EE1FD0">
      <w:pPr>
        <w:numPr>
          <w:ilvl w:val="1"/>
          <w:numId w:val="37"/>
        </w:numPr>
        <w:suppressAutoHyphens/>
        <w:autoSpaceDE w:val="0"/>
        <w:autoSpaceDN w:val="0"/>
        <w:spacing w:after="240"/>
        <w:ind w:left="426" w:hanging="426"/>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W sytuacji, gdy wniosek zawiera braki uniemożliwiające jego rozpatrzenie i wydanie decyzji, FRW wzywa wnioskodawcę do ich usunięcia w wyznaczonym terminie, a datą, od której biegnie termin ustalony dla rozpatrzenia wniosku jest data usunięcia przez wnioskodawcę braków. Nieuzupełnienie braków skutkuje pozostawieniem wniosku bez rozpoznania.</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24</w:t>
      </w:r>
    </w:p>
    <w:p w:rsidR="00EE1FD0" w:rsidRDefault="00EE1FD0" w:rsidP="00EE1FD0">
      <w:pPr>
        <w:numPr>
          <w:ilvl w:val="0"/>
          <w:numId w:val="40"/>
        </w:numPr>
        <w:suppressAutoHyphens/>
        <w:autoSpaceDE w:val="0"/>
        <w:autoSpaceDN w:val="0"/>
        <w:spacing w:after="0"/>
        <w:ind w:left="426" w:hanging="426"/>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Wnioskodawca zostaje niezwłocznie powiadomiony o podjętej uchwale w przedmiocie udzielenia i sposobu zabezpieczenia pożyczki oraz obowiązującym trybie odwoławczym w przypadku decyzji negatywnej.</w:t>
      </w:r>
    </w:p>
    <w:p w:rsidR="00EE1FD0" w:rsidRDefault="00EE1FD0" w:rsidP="00EE1FD0">
      <w:pPr>
        <w:numPr>
          <w:ilvl w:val="0"/>
          <w:numId w:val="39"/>
        </w:numPr>
        <w:suppressAutoHyphens/>
        <w:autoSpaceDE w:val="0"/>
        <w:autoSpaceDN w:val="0"/>
        <w:spacing w:after="0"/>
        <w:ind w:left="426" w:hanging="426"/>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Od podjętej przez Zarząd FRW decyzji, wnioskodawca ma prawo odwołania do Komitetu Regionalnego FRW w ciągu 14 dni od daty otrzymania informacji o decyzji FRW.</w:t>
      </w:r>
    </w:p>
    <w:p w:rsidR="00EE1FD0" w:rsidRDefault="00EE1FD0" w:rsidP="00EE1FD0">
      <w:pPr>
        <w:numPr>
          <w:ilvl w:val="0"/>
          <w:numId w:val="39"/>
        </w:numPr>
        <w:suppressAutoHyphens/>
        <w:autoSpaceDE w:val="0"/>
        <w:autoSpaceDN w:val="0"/>
        <w:spacing w:after="0"/>
        <w:ind w:left="426" w:hanging="426"/>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Uchwały Komitetu Regionalnego FRW są ostateczne. </w:t>
      </w:r>
    </w:p>
    <w:p w:rsidR="00EE1FD0" w:rsidRDefault="00EE1FD0" w:rsidP="00EE1FD0">
      <w:pPr>
        <w:numPr>
          <w:ilvl w:val="0"/>
          <w:numId w:val="39"/>
        </w:numPr>
        <w:suppressAutoHyphens/>
        <w:autoSpaceDE w:val="0"/>
        <w:autoSpaceDN w:val="0"/>
        <w:spacing w:after="240"/>
        <w:ind w:left="426" w:hanging="426"/>
        <w:jc w:val="both"/>
        <w:textAlignment w:val="baseline"/>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 razie podjęcia decyzji negatywnej wniosek o pożyczkę wraz z załącznikami pozostaje w FRW. Oryginały załączników do wniosku, po pozostawieniu w FRW kserokopii, mogą być zwracane wyłącznie na pisemne żądanie wnioskodawcy.</w:t>
      </w:r>
    </w:p>
    <w:p w:rsidR="00EE1FD0" w:rsidRDefault="00EE1FD0" w:rsidP="00EE1FD0">
      <w:pPr>
        <w:autoSpaceDE w:val="0"/>
        <w:spacing w:after="240"/>
        <w:jc w:val="center"/>
        <w:rPr>
          <w:rFonts w:ascii="Times New Roman" w:eastAsia="Times New Roman" w:hAnsi="Times New Roman"/>
          <w:b/>
          <w:bCs/>
          <w:lang w:eastAsia="pl-PL"/>
        </w:rPr>
      </w:pPr>
      <w:r>
        <w:rPr>
          <w:rFonts w:ascii="Times New Roman" w:eastAsia="Times New Roman" w:hAnsi="Times New Roman"/>
          <w:b/>
          <w:bCs/>
          <w:lang w:eastAsia="pl-PL"/>
        </w:rPr>
        <w:t>VI. Umowa o udzielenie pożyczki</w:t>
      </w:r>
    </w:p>
    <w:p w:rsidR="00EE1FD0" w:rsidRDefault="00EE1FD0" w:rsidP="00EE1FD0">
      <w:pPr>
        <w:autoSpaceDE w:val="0"/>
        <w:spacing w:before="240" w:after="0"/>
        <w:jc w:val="center"/>
        <w:rPr>
          <w:rFonts w:ascii="Times New Roman" w:eastAsia="Times New Roman" w:hAnsi="Times New Roman"/>
          <w:b/>
          <w:bCs/>
          <w:lang w:eastAsia="pl-PL"/>
        </w:rPr>
      </w:pPr>
      <w:r>
        <w:rPr>
          <w:rFonts w:ascii="Times New Roman" w:eastAsia="Times New Roman" w:hAnsi="Times New Roman"/>
          <w:b/>
          <w:bCs/>
          <w:lang w:eastAsia="pl-PL"/>
        </w:rPr>
        <w:t>§ 25</w:t>
      </w:r>
    </w:p>
    <w:p w:rsidR="00EE1FD0" w:rsidRDefault="00EE1FD0" w:rsidP="00EE1FD0">
      <w:pPr>
        <w:numPr>
          <w:ilvl w:val="0"/>
          <w:numId w:val="42"/>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pozytywnej decyzji, między stronami zostaje spisana umowa pożyczki, której podstawowe zapisy zawierać będą m.in.: </w:t>
      </w:r>
    </w:p>
    <w:p w:rsidR="00EE1FD0" w:rsidRDefault="00EE1FD0" w:rsidP="00EE1FD0">
      <w:pPr>
        <w:numPr>
          <w:ilvl w:val="0"/>
          <w:numId w:val="44"/>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maksymalną wysokość pożyczki;</w:t>
      </w:r>
    </w:p>
    <w:p w:rsidR="00EE1FD0" w:rsidRDefault="00EE1FD0" w:rsidP="00EE1FD0">
      <w:pPr>
        <w:numPr>
          <w:ilvl w:val="0"/>
          <w:numId w:val="43"/>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wartość i charakter nakładów inwestycyjnych;</w:t>
      </w:r>
    </w:p>
    <w:p w:rsidR="00EE1FD0" w:rsidRDefault="00EE1FD0" w:rsidP="00EE1FD0">
      <w:pPr>
        <w:numPr>
          <w:ilvl w:val="0"/>
          <w:numId w:val="43"/>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cele projektu i zobowiązania pożyczkobiorcy;</w:t>
      </w:r>
    </w:p>
    <w:p w:rsidR="00EE1FD0" w:rsidRDefault="00EE1FD0" w:rsidP="00EE1FD0">
      <w:pPr>
        <w:numPr>
          <w:ilvl w:val="0"/>
          <w:numId w:val="43"/>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prawne formy zabezpieczenia pożyczki wraz z odsetkami;</w:t>
      </w:r>
    </w:p>
    <w:p w:rsidR="00EE1FD0" w:rsidRDefault="00EE1FD0" w:rsidP="00EE1FD0">
      <w:pPr>
        <w:numPr>
          <w:ilvl w:val="0"/>
          <w:numId w:val="43"/>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oprocentowanie;</w:t>
      </w:r>
    </w:p>
    <w:p w:rsidR="00EE1FD0" w:rsidRDefault="00EE1FD0" w:rsidP="00EE1FD0">
      <w:pPr>
        <w:numPr>
          <w:ilvl w:val="0"/>
          <w:numId w:val="43"/>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zobowiązanie pożyczkobiorcy do składania bieżących sprawozdań finansowych;</w:t>
      </w:r>
    </w:p>
    <w:p w:rsidR="00EE1FD0" w:rsidRDefault="00EE1FD0" w:rsidP="00EE1FD0">
      <w:pPr>
        <w:numPr>
          <w:ilvl w:val="0"/>
          <w:numId w:val="43"/>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i procedury zmiany umowy;</w:t>
      </w:r>
    </w:p>
    <w:p w:rsidR="00EE1FD0" w:rsidRDefault="00EE1FD0" w:rsidP="00EE1FD0">
      <w:pPr>
        <w:numPr>
          <w:ilvl w:val="0"/>
          <w:numId w:val="43"/>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skutki niewypełnienia lub nienależytego wypełnienia umowy.  </w:t>
      </w:r>
    </w:p>
    <w:p w:rsidR="00EE1FD0" w:rsidRDefault="00EE1FD0" w:rsidP="00EE1FD0">
      <w:pPr>
        <w:numPr>
          <w:ilvl w:val="0"/>
          <w:numId w:val="41"/>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Do każdej umowy pożyczki załączana jest „Karta Produktu Pożyczki Rozwojowej”, stanowiąca skrócony odpis głównych postanowień dotyczących warunków i zasad udzielania pożyczki.</w:t>
      </w:r>
    </w:p>
    <w:p w:rsidR="00EE1FD0" w:rsidRDefault="00EE1FD0" w:rsidP="00EE1FD0">
      <w:pPr>
        <w:numPr>
          <w:ilvl w:val="0"/>
          <w:numId w:val="41"/>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Strony zobowiązane są do zawarcia umowy pożyczki w terminie 1 miesiąca od daty podjęcia decyzji o udzieleniu pożyczki.</w:t>
      </w:r>
    </w:p>
    <w:p w:rsidR="00EE1FD0" w:rsidRDefault="00EE1FD0" w:rsidP="00EE1FD0">
      <w:pPr>
        <w:numPr>
          <w:ilvl w:val="0"/>
          <w:numId w:val="41"/>
        </w:numPr>
        <w:suppressAutoHyphens/>
        <w:autoSpaceDE w:val="0"/>
        <w:autoSpaceDN w:val="0"/>
        <w:spacing w:after="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zawarcia umowy przez osobę fizyczną pozostającą w związku małżeńskim, w którym ustawowa wspólność małżeńska nie została ograniczona ani wyłączona, wymagana jest zgoda współmałżonka na zawarcie umowy. </w:t>
      </w:r>
    </w:p>
    <w:p w:rsidR="00EE1FD0" w:rsidRDefault="00EE1FD0" w:rsidP="00EE1FD0">
      <w:pPr>
        <w:numPr>
          <w:ilvl w:val="0"/>
          <w:numId w:val="41"/>
        </w:numPr>
        <w:suppressAutoHyphens/>
        <w:autoSpaceDE w:val="0"/>
        <w:autoSpaceDN w:val="0"/>
        <w:spacing w:after="24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 razie nie zawarcia umowy pożyczki, spowodowanego brakiem działania wnioskodawcy w terminie wskazanym w ust. 3, decyzja o udzieleniu pożyczki traci moc i nie może stanowić podstawy do zawarcia umowy między stronami.</w:t>
      </w:r>
    </w:p>
    <w:p w:rsidR="00EE1FD0" w:rsidRDefault="00EE1FD0" w:rsidP="00EE1FD0">
      <w:pPr>
        <w:keepNext/>
        <w:autoSpaceDE w:val="0"/>
        <w:spacing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26</w:t>
      </w:r>
    </w:p>
    <w:p w:rsidR="00EE1FD0" w:rsidRDefault="00EE1FD0" w:rsidP="00EE1FD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Umowa może być renegocjowana w przypadku istotnej zmiany warunków finansowanego przedsięwzięcia.</w:t>
      </w:r>
    </w:p>
    <w:p w:rsidR="00EE1FD0" w:rsidRDefault="00EE1FD0" w:rsidP="00EE1FD0">
      <w:pPr>
        <w:autoSpaceDE w:val="0"/>
        <w:spacing w:after="240"/>
        <w:jc w:val="center"/>
        <w:rPr>
          <w:rFonts w:ascii="Times New Roman" w:eastAsia="Times New Roman" w:hAnsi="Times New Roman"/>
          <w:b/>
          <w:bCs/>
          <w:lang w:eastAsia="pl-PL"/>
        </w:rPr>
      </w:pPr>
      <w:r>
        <w:rPr>
          <w:rFonts w:ascii="Times New Roman" w:eastAsia="Times New Roman" w:hAnsi="Times New Roman"/>
          <w:b/>
          <w:bCs/>
          <w:lang w:eastAsia="pl-PL"/>
        </w:rPr>
        <w:t>VII. Zasady wypłacania pożyczki</w:t>
      </w:r>
    </w:p>
    <w:p w:rsidR="00EE1FD0" w:rsidRDefault="00EE1FD0" w:rsidP="00EE1FD0">
      <w:pPr>
        <w:autoSpaceDE w:val="0"/>
        <w:spacing w:before="240" w:after="0"/>
        <w:jc w:val="center"/>
        <w:rPr>
          <w:rFonts w:ascii="Times New Roman" w:eastAsia="Times New Roman" w:hAnsi="Times New Roman"/>
          <w:b/>
          <w:bCs/>
          <w:lang w:eastAsia="pl-PL"/>
        </w:rPr>
      </w:pPr>
      <w:r>
        <w:rPr>
          <w:rFonts w:ascii="Times New Roman" w:eastAsia="Times New Roman" w:hAnsi="Times New Roman"/>
          <w:b/>
          <w:bCs/>
          <w:lang w:eastAsia="pl-PL"/>
        </w:rPr>
        <w:t>§ 27</w:t>
      </w:r>
    </w:p>
    <w:p w:rsidR="00EE1FD0" w:rsidRDefault="00EE1FD0" w:rsidP="00EE1FD0">
      <w:pPr>
        <w:numPr>
          <w:ilvl w:val="0"/>
          <w:numId w:val="46"/>
        </w:numPr>
        <w:suppressAutoHyphens/>
        <w:autoSpaceDE w:val="0"/>
        <w:autoSpaceDN w:val="0"/>
        <w:spacing w:after="0"/>
        <w:ind w:left="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Uruchomienie środków pożyczkowych następuje niezwłocznie po podpisaniu umowy i spełnieniu warunków jej realizacji.</w:t>
      </w:r>
    </w:p>
    <w:p w:rsidR="00EE1FD0" w:rsidRDefault="00EE1FD0" w:rsidP="00EE1FD0">
      <w:pPr>
        <w:numPr>
          <w:ilvl w:val="0"/>
          <w:numId w:val="45"/>
        </w:numPr>
        <w:suppressAutoHyphens/>
        <w:autoSpaceDE w:val="0"/>
        <w:autoSpaceDN w:val="0"/>
        <w:spacing w:after="0"/>
        <w:ind w:left="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 zależności od harmonogramu realizacji inwestycji i potrzeb Pożyczkobiorcy, Pożyczka Rozwojowa może być wypłacana w transzach.</w:t>
      </w:r>
    </w:p>
    <w:p w:rsidR="00EE1FD0" w:rsidRDefault="00EE1FD0" w:rsidP="00EE1FD0">
      <w:pPr>
        <w:numPr>
          <w:ilvl w:val="0"/>
          <w:numId w:val="45"/>
        </w:numPr>
        <w:suppressAutoHyphens/>
        <w:autoSpaceDE w:val="0"/>
        <w:autoSpaceDN w:val="0"/>
        <w:spacing w:after="240"/>
        <w:ind w:left="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Maksymalny termin na wypłatę całkowitej kwoty pożyczki Przedsiębiorcy wynosi 90 dni kalendarzowych od dnia zawarcia umowy.</w:t>
      </w: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28</w:t>
      </w:r>
    </w:p>
    <w:p w:rsidR="00EE1FD0" w:rsidRDefault="00EE1FD0" w:rsidP="00EE1FD0">
      <w:pPr>
        <w:autoSpaceDE w:val="0"/>
        <w:spacing w:after="240"/>
        <w:jc w:val="both"/>
      </w:pPr>
      <w:r>
        <w:rPr>
          <w:rFonts w:ascii="Times New Roman" w:eastAsia="Times New Roman" w:hAnsi="Times New Roman"/>
          <w:sz w:val="24"/>
          <w:szCs w:val="24"/>
          <w:lang w:eastAsia="pl-PL"/>
        </w:rPr>
        <w:t>Wypłata pożyczki realizowana jest w formie bezgotówkowej.</w:t>
      </w: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29</w:t>
      </w:r>
    </w:p>
    <w:p w:rsidR="00EE1FD0" w:rsidRDefault="00EE1FD0" w:rsidP="00EE1FD0">
      <w:pPr>
        <w:numPr>
          <w:ilvl w:val="0"/>
          <w:numId w:val="48"/>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 xml:space="preserve">W przypadku realizowanych w ramach inwestycji płatności za maszyny, urządzenia i usługi nabywane, FRW realizuje umowę pożyczki w oparciu o przedstawione rachunki oraz faktury. Zalecaną formą płatności jest przekazywanie środków bezpośrednio na konto dostawcy dóbr inwestycyjnych lub konto usługodawcy. </w:t>
      </w:r>
    </w:p>
    <w:p w:rsidR="00EE1FD0" w:rsidRDefault="00EE1FD0" w:rsidP="00EE1FD0">
      <w:pPr>
        <w:numPr>
          <w:ilvl w:val="0"/>
          <w:numId w:val="47"/>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 xml:space="preserve">Wydatkowanie środków Pożyczki Rozwojowej o wartości do 500 000,00 zł musi zostać należycie udokumentowane w terminie do 90 dni od dnia wypłaty całkowitej kwoty </w:t>
      </w:r>
      <w:r>
        <w:rPr>
          <w:rFonts w:ascii="Times New Roman" w:eastAsia="Times New Roman" w:hAnsi="Times New Roman"/>
          <w:bCs/>
          <w:sz w:val="24"/>
          <w:lang w:eastAsia="pl-PL"/>
        </w:rPr>
        <w:lastRenderedPageBreak/>
        <w:t>Pożyczki Rozwojowej, przy czym termin ten dotyczy daty wystawienia dokumentów potwierdzających wydatkowanie środków. W uzasadnionych przypadkach, na wniosek Pożyczkobiorcy FRW może wydłużyć ten termin maksymalnie o kolejne 90 dni ze względu na charakter inwestycji.</w:t>
      </w:r>
    </w:p>
    <w:p w:rsidR="00EE1FD0" w:rsidRDefault="00EE1FD0" w:rsidP="00EE1FD0">
      <w:pPr>
        <w:numPr>
          <w:ilvl w:val="0"/>
          <w:numId w:val="47"/>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Wydatkowanie środków Pożyczki Rozwojowej o wartości powyżej 500 000,00 zł musi zostać należycie udokumentowane w terminie do 180 dni od dnia wypłaty całkowitej kwoty Pożyczki Rozwojowej, przy czym termin ten dotyczy daty wystawienia dokumentów potwierdzających wydatkowanie środków. W uzasadnionych przypadkach, na wniosek Pożyczkobiorcy FRW może zaakceptować wydłużenie tego terminu maksymalnie o kolejne 180 dni ze względu na charakter inwestycji.</w:t>
      </w:r>
    </w:p>
    <w:p w:rsidR="00EE1FD0" w:rsidRDefault="00EE1FD0" w:rsidP="00EE1FD0">
      <w:pPr>
        <w:numPr>
          <w:ilvl w:val="0"/>
          <w:numId w:val="47"/>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Dokumentem potwierdzającym wydatkowanie środków zgodnie z celem, na jaki zostały przyznane jest faktura lub dokument równoważny w rozumieniu przepisów prawa krajowego, wystawiony nie wcześniej niż w dniu złożenia wniosku o udzielenie Pożyczki Rozwojowej. FRW może przyjąć do rozliczenia dokument potwierdzający wydatkowanie Pożyczki Rozwojowej wystawiony z datą wcześniejszą, pod warunkiem, że pozyska wiarygodne dowody, że przedstawiony dokument nie został opłacony przed dniem złożenia wniosku o udzielenie Pożyczki Rozwojowej.</w:t>
      </w:r>
    </w:p>
    <w:p w:rsidR="00EE1FD0" w:rsidRDefault="00EE1FD0" w:rsidP="00EE1FD0">
      <w:pPr>
        <w:numPr>
          <w:ilvl w:val="0"/>
          <w:numId w:val="47"/>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Wszelka dokumentacja potwierdzająca wydatkowanie środków przez Pożyczkobiorcę powinna być, co do zasady, sporządzona w języku polskim, a w przypadku dokumentów wystawianych w języku innym niż język polski, powinna zostać przetłumaczona na język polski przez Pożyczkobiorcę lub na jego zlecenie.</w:t>
      </w:r>
    </w:p>
    <w:p w:rsidR="00EE1FD0" w:rsidRDefault="00EE1FD0" w:rsidP="00EE1FD0">
      <w:pPr>
        <w:numPr>
          <w:ilvl w:val="0"/>
          <w:numId w:val="47"/>
        </w:numPr>
        <w:suppressAutoHyphens/>
        <w:autoSpaceDE w:val="0"/>
        <w:autoSpaceDN w:val="0"/>
        <w:spacing w:after="0"/>
        <w:ind w:left="284"/>
        <w:jc w:val="both"/>
        <w:textAlignment w:val="baseline"/>
      </w:pPr>
      <w:r>
        <w:rPr>
          <w:rFonts w:ascii="Times New Roman" w:eastAsia="Times New Roman" w:hAnsi="Times New Roman"/>
          <w:bCs/>
          <w:sz w:val="24"/>
          <w:lang w:eastAsia="pl-PL"/>
        </w:rPr>
        <w:t xml:space="preserve">Pożyczkobiorca jest zobowiązany do dostarczenia do FRW oryginałów dowodów księgowych, o których mowa w ust. 1-4, celem opatrzenia ich pieczęcią o współfinansowaniu wydatku ze środków Europejskiego Funduszu Rozwoju Regionalnego w ramach </w:t>
      </w:r>
      <w:r>
        <w:rPr>
          <w:rFonts w:ascii="Times New Roman" w:eastAsia="Times New Roman" w:hAnsi="Times New Roman"/>
          <w:bCs/>
          <w:sz w:val="24"/>
          <w:szCs w:val="24"/>
          <w:lang w:eastAsia="pl-PL"/>
        </w:rPr>
        <w:t>Regionalnego Programu Operacyjnego Województwa Dolnośląskiego 2014 -2020</w:t>
      </w:r>
      <w:r>
        <w:rPr>
          <w:rFonts w:ascii="Times New Roman" w:eastAsia="Times New Roman" w:hAnsi="Times New Roman"/>
          <w:bCs/>
          <w:sz w:val="24"/>
          <w:lang w:eastAsia="pl-PL"/>
        </w:rPr>
        <w:t>.</w:t>
      </w:r>
    </w:p>
    <w:p w:rsidR="00EE1FD0" w:rsidRDefault="00EE1FD0" w:rsidP="00EE1FD0">
      <w:pPr>
        <w:numPr>
          <w:ilvl w:val="0"/>
          <w:numId w:val="47"/>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Pożyczkobiorca jest zobowiązany do dokonywania płatności związanych z realizacją umowy pożyczki za pośrednictwem rachunku bankowego Pożyczkobiorcy w każdym przypadku, gdy:</w:t>
      </w:r>
    </w:p>
    <w:p w:rsidR="00EE1FD0" w:rsidRDefault="00EE1FD0" w:rsidP="00EE1FD0">
      <w:pPr>
        <w:numPr>
          <w:ilvl w:val="1"/>
          <w:numId w:val="47"/>
        </w:numPr>
        <w:suppressAutoHyphens/>
        <w:autoSpaceDE w:val="0"/>
        <w:autoSpaceDN w:val="0"/>
        <w:spacing w:after="0"/>
        <w:ind w:left="567" w:hanging="283"/>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stroną transakcji, z której wynika płatność, jest inny przedsiębiorca oraz</w:t>
      </w:r>
    </w:p>
    <w:p w:rsidR="00EE1FD0" w:rsidRDefault="00EE1FD0" w:rsidP="00EE1FD0">
      <w:pPr>
        <w:numPr>
          <w:ilvl w:val="1"/>
          <w:numId w:val="47"/>
        </w:numPr>
        <w:suppressAutoHyphens/>
        <w:autoSpaceDE w:val="0"/>
        <w:autoSpaceDN w:val="0"/>
        <w:spacing w:after="240"/>
        <w:ind w:left="567" w:hanging="283"/>
        <w:jc w:val="both"/>
        <w:textAlignment w:val="baseline"/>
      </w:pPr>
      <w:r>
        <w:rPr>
          <w:rFonts w:ascii="Times New Roman" w:eastAsia="Times New Roman" w:hAnsi="Times New Roman"/>
          <w:bCs/>
          <w:sz w:val="24"/>
          <w:lang w:eastAsia="pl-PL"/>
        </w:rPr>
        <w:t>jednorazowa wartość transakcji, bez względu na liczbę wynikających z niej płatności, przekracza równowartość 15 000 złotych, przy czym transakcje w walutach obcych przelicza się na złote według kursu średniego walut obcych ogłaszanego przez Narodowy Bank Polski z ostatniego dnia roboczego poprzedzającego dzień dokonania transakcji.</w:t>
      </w:r>
    </w:p>
    <w:p w:rsidR="00EE1FD0" w:rsidRDefault="00EE1FD0" w:rsidP="00EE1FD0">
      <w:pPr>
        <w:autoSpaceDE w:val="0"/>
        <w:spacing w:after="240"/>
        <w:jc w:val="center"/>
      </w:pPr>
      <w:r>
        <w:rPr>
          <w:rFonts w:ascii="Times New Roman" w:eastAsia="Times New Roman" w:hAnsi="Times New Roman"/>
          <w:b/>
          <w:lang w:eastAsia="pl-PL"/>
        </w:rPr>
        <w:t>VIII.</w:t>
      </w:r>
      <w:r>
        <w:rPr>
          <w:rFonts w:ascii="Times New Roman" w:eastAsia="Times New Roman" w:hAnsi="Times New Roman"/>
          <w:b/>
          <w:bCs/>
          <w:lang w:eastAsia="pl-PL"/>
        </w:rPr>
        <w:t xml:space="preserve"> Spłata pożyczki oraz zasady naliczania i pobierania odsetek</w:t>
      </w:r>
    </w:p>
    <w:p w:rsidR="00EE1FD0" w:rsidRDefault="00EE1FD0" w:rsidP="00EE1FD0">
      <w:pPr>
        <w:autoSpaceDE w:val="0"/>
        <w:spacing w:before="240" w:after="0"/>
        <w:jc w:val="center"/>
        <w:rPr>
          <w:rFonts w:ascii="Times New Roman" w:eastAsia="Times New Roman" w:hAnsi="Times New Roman"/>
          <w:b/>
          <w:bCs/>
          <w:lang w:eastAsia="pl-PL"/>
        </w:rPr>
      </w:pPr>
      <w:r>
        <w:rPr>
          <w:rFonts w:ascii="Times New Roman" w:eastAsia="Times New Roman" w:hAnsi="Times New Roman"/>
          <w:b/>
          <w:bCs/>
          <w:lang w:eastAsia="pl-PL"/>
        </w:rPr>
        <w:t>§ 30</w:t>
      </w:r>
    </w:p>
    <w:p w:rsidR="00EE1FD0" w:rsidRDefault="00EE1FD0" w:rsidP="00EE1FD0">
      <w:pPr>
        <w:numPr>
          <w:ilvl w:val="0"/>
          <w:numId w:val="50"/>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 xml:space="preserve">Wysokość raty kapitałowo-odsetkowej jest stała. W przypadku zmiany sposobu spłaty pożyczki następuje przeliczenie wysokości raty kapitałowo – odsetkowej. </w:t>
      </w:r>
    </w:p>
    <w:p w:rsidR="00EE1FD0" w:rsidRDefault="00EE1FD0" w:rsidP="00EE1FD0">
      <w:pPr>
        <w:numPr>
          <w:ilvl w:val="0"/>
          <w:numId w:val="49"/>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Wysokość raty oraz terminy spłaty pożyczki określa harmonogram spłaty będący integralną częścią umowy pożyczki.</w:t>
      </w:r>
    </w:p>
    <w:p w:rsidR="00EE1FD0" w:rsidRDefault="00EE1FD0" w:rsidP="00EE1FD0">
      <w:pPr>
        <w:numPr>
          <w:ilvl w:val="0"/>
          <w:numId w:val="49"/>
        </w:numPr>
        <w:suppressAutoHyphens/>
        <w:autoSpaceDE w:val="0"/>
        <w:autoSpaceDN w:val="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lastRenderedPageBreak/>
        <w:t>Spłata rat kapitałowych i odsetkowych następuje w okresach miesięcznych zgodnie z terminami określonymi w harmonogramie spłat.</w:t>
      </w:r>
    </w:p>
    <w:p w:rsidR="00EE1FD0" w:rsidRDefault="00EE1FD0" w:rsidP="00EE1FD0">
      <w:pPr>
        <w:autoSpaceDE w:val="0"/>
        <w:spacing w:after="0"/>
        <w:jc w:val="center"/>
      </w:pPr>
      <w:r>
        <w:rPr>
          <w:rFonts w:ascii="Times New Roman" w:eastAsia="Times New Roman" w:hAnsi="Times New Roman"/>
          <w:b/>
          <w:bCs/>
          <w:lang w:eastAsia="pl-PL"/>
        </w:rPr>
        <w:t>§ 31</w:t>
      </w:r>
    </w:p>
    <w:p w:rsidR="00EE1FD0" w:rsidRDefault="00EE1FD0" w:rsidP="00EE1FD0">
      <w:pPr>
        <w:numPr>
          <w:ilvl w:val="0"/>
          <w:numId w:val="52"/>
        </w:numPr>
        <w:suppressAutoHyphens/>
        <w:autoSpaceDE w:val="0"/>
        <w:autoSpaceDN w:val="0"/>
        <w:spacing w:after="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 xml:space="preserve">Odsetki od kwoty pożyczki naliczane są za każdy dzień wykorzystania pożyczki, zgodnie ze stanem faktycznego zadłużenia. </w:t>
      </w:r>
    </w:p>
    <w:p w:rsidR="00EE1FD0" w:rsidRDefault="00EE1FD0" w:rsidP="00EE1FD0">
      <w:pPr>
        <w:numPr>
          <w:ilvl w:val="0"/>
          <w:numId w:val="51"/>
        </w:numPr>
        <w:suppressAutoHyphens/>
        <w:autoSpaceDE w:val="0"/>
        <w:autoSpaceDN w:val="0"/>
        <w:spacing w:after="240"/>
        <w:ind w:left="284"/>
        <w:jc w:val="both"/>
        <w:textAlignment w:val="baseline"/>
        <w:rPr>
          <w:rFonts w:ascii="Times New Roman" w:eastAsia="Times New Roman" w:hAnsi="Times New Roman"/>
          <w:bCs/>
          <w:sz w:val="24"/>
          <w:lang w:eastAsia="pl-PL"/>
        </w:rPr>
      </w:pPr>
      <w:r>
        <w:rPr>
          <w:rFonts w:ascii="Times New Roman" w:eastAsia="Times New Roman" w:hAnsi="Times New Roman"/>
          <w:bCs/>
          <w:sz w:val="24"/>
          <w:lang w:eastAsia="pl-PL"/>
        </w:rPr>
        <w:t>Odsetki określone w umowie pożyczki, liczone są za okres od dnia wydatkowania środków z konta FRW do dnia poprzedzającego spłatę pożyczki, w wysokości określonej w harmonogramie spłaty.</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32</w:t>
      </w:r>
    </w:p>
    <w:p w:rsidR="00EE1FD0" w:rsidRDefault="00EE1FD0" w:rsidP="00EE1FD0">
      <w:pPr>
        <w:autoSpaceDE w:val="0"/>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Okres zwłoki w spłacie raty pożyczki naliczany jest od dnia następującego po terminie określonym w harmonogramie spłaty raty pożyczki do dnia wpływu środków na rachunek FRW, wpłaty do kasy FRW kwoty należności, uiszczenia w inny sposób przyjęty w obrocie pieniężnym lub do dnia naliczania odsetek w celach ewidencyjnych lub egzekucyjnych. </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33</w:t>
      </w:r>
    </w:p>
    <w:p w:rsidR="00EE1FD0" w:rsidRDefault="00EE1FD0" w:rsidP="00EE1FD0">
      <w:pPr>
        <w:autoSpaceDE w:val="0"/>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 zadłużenia przeterminowanego, w części dotyczącej kapitału, powstałego w wyniku niespłacenia całości lub części pożyczki w terminach ustalonych w umowie oraz od całości </w:t>
      </w:r>
      <w:r>
        <w:rPr>
          <w:rFonts w:ascii="Times New Roman" w:eastAsia="Times New Roman" w:hAnsi="Times New Roman"/>
          <w:sz w:val="24"/>
          <w:szCs w:val="24"/>
          <w:lang w:eastAsia="pl-PL"/>
        </w:rPr>
        <w:br/>
        <w:t>lub części pożyczki postawionej w stan wymagalności - odsetki są naliczane w wysokości odsetek ustawowych za opóźnienie.</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34</w:t>
      </w:r>
    </w:p>
    <w:p w:rsidR="00EE1FD0" w:rsidRDefault="00EE1FD0" w:rsidP="00EE1FD0">
      <w:pPr>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Roszczenia FRW z tytułu niespłaconej pożyczki i odsetek pokrywane są w następującej kolejności: </w:t>
      </w:r>
    </w:p>
    <w:p w:rsidR="00EE1FD0" w:rsidRDefault="00EE1FD0" w:rsidP="00EE1FD0">
      <w:pPr>
        <w:numPr>
          <w:ilvl w:val="0"/>
          <w:numId w:val="54"/>
        </w:numPr>
        <w:suppressAutoHyphens/>
        <w:autoSpaceDE w:val="0"/>
        <w:autoSpaceDN w:val="0"/>
        <w:spacing w:after="0"/>
        <w:ind w:left="426"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koszty sądowe i koszty egzekucyjne, w przypadku ich wystąpienia;</w:t>
      </w:r>
    </w:p>
    <w:p w:rsidR="00EE1FD0" w:rsidRDefault="00EE1FD0" w:rsidP="00EE1FD0">
      <w:pPr>
        <w:numPr>
          <w:ilvl w:val="0"/>
          <w:numId w:val="53"/>
        </w:numPr>
        <w:suppressAutoHyphens/>
        <w:autoSpaceDE w:val="0"/>
        <w:autoSpaceDN w:val="0"/>
        <w:spacing w:after="0"/>
        <w:ind w:left="426"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odsetki od zadłużenia przeterminowanego;</w:t>
      </w:r>
    </w:p>
    <w:p w:rsidR="00EE1FD0" w:rsidRDefault="00EE1FD0" w:rsidP="00EE1FD0">
      <w:pPr>
        <w:numPr>
          <w:ilvl w:val="0"/>
          <w:numId w:val="53"/>
        </w:numPr>
        <w:suppressAutoHyphens/>
        <w:autoSpaceDE w:val="0"/>
        <w:autoSpaceDN w:val="0"/>
        <w:spacing w:after="0"/>
        <w:ind w:left="426"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odsetki kapitałowe (oprocentowanie pożyczki);</w:t>
      </w:r>
    </w:p>
    <w:p w:rsidR="00EE1FD0" w:rsidRDefault="00EE1FD0" w:rsidP="00EE1FD0">
      <w:pPr>
        <w:numPr>
          <w:ilvl w:val="0"/>
          <w:numId w:val="53"/>
        </w:numPr>
        <w:suppressAutoHyphens/>
        <w:autoSpaceDE w:val="0"/>
        <w:autoSpaceDN w:val="0"/>
        <w:spacing w:after="240"/>
        <w:ind w:left="426"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kapitał. </w:t>
      </w:r>
    </w:p>
    <w:p w:rsidR="00EE1FD0" w:rsidRDefault="00EE1FD0" w:rsidP="00EE1FD0">
      <w:pPr>
        <w:autoSpaceDE w:val="0"/>
        <w:spacing w:after="240"/>
        <w:jc w:val="center"/>
        <w:rPr>
          <w:rFonts w:ascii="Times New Roman" w:eastAsia="Times New Roman" w:hAnsi="Times New Roman"/>
          <w:b/>
          <w:bCs/>
          <w:lang w:eastAsia="pl-PL"/>
        </w:rPr>
      </w:pPr>
      <w:r>
        <w:rPr>
          <w:rFonts w:ascii="Times New Roman" w:eastAsia="Times New Roman" w:hAnsi="Times New Roman"/>
          <w:b/>
          <w:bCs/>
          <w:lang w:eastAsia="pl-PL"/>
        </w:rPr>
        <w:t>IX. Monitoring</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35</w:t>
      </w:r>
    </w:p>
    <w:p w:rsidR="00EE1FD0" w:rsidRDefault="00EE1FD0" w:rsidP="00EE1FD0">
      <w:pPr>
        <w:autoSpaceDE w:val="0"/>
        <w:spacing w:after="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Pożyczkobiorcy mogą zostać poddani nadzorowi w zakresie sposobu realizacji inwestycji, zaangażowania środków własnych, realizacji w zakresie deklarowanego zatrudnienia i wykorzystania pożyczki oraz innych postanowień umowy.</w:t>
      </w:r>
    </w:p>
    <w:p w:rsidR="00EE1FD0" w:rsidRDefault="00EE1FD0" w:rsidP="00EE1FD0">
      <w:pPr>
        <w:autoSpaceDE w:val="0"/>
        <w:spacing w:after="0"/>
        <w:jc w:val="center"/>
        <w:rPr>
          <w:rFonts w:ascii="Times New Roman" w:eastAsia="Times New Roman" w:hAnsi="Times New Roman"/>
          <w:b/>
          <w:bCs/>
          <w:lang w:eastAsia="pl-PL"/>
        </w:rPr>
      </w:pPr>
      <w:r>
        <w:rPr>
          <w:rFonts w:ascii="Times New Roman" w:eastAsia="Times New Roman" w:hAnsi="Times New Roman"/>
          <w:b/>
          <w:bCs/>
          <w:lang w:eastAsia="pl-PL"/>
        </w:rPr>
        <w:t>§ 36</w:t>
      </w:r>
    </w:p>
    <w:p w:rsidR="00EE1FD0" w:rsidRDefault="00EE1FD0" w:rsidP="00EE1FD0">
      <w:p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Nadzór odbywać się będzie poprzez wizytację miejsc realizacji inwestycji i kontrolę dokumentów oraz zapisów księgowych potwierdzających wydatki i źródła finansowania.</w:t>
      </w: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37</w:t>
      </w:r>
    </w:p>
    <w:p w:rsidR="00EE1FD0" w:rsidRDefault="00EE1FD0" w:rsidP="00EE1FD0">
      <w:p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Pożyczkobiorcy korzystający z Pożyczki Rozwojowej zobowiązują się przez okres spłaty pożyczki nie wydzierżawiać, nie wynajmować ani też nie przenosić całości lub części praw </w:t>
      </w:r>
      <w:r>
        <w:rPr>
          <w:rFonts w:ascii="Times New Roman" w:eastAsia="Times New Roman" w:hAnsi="Times New Roman"/>
          <w:sz w:val="24"/>
          <w:szCs w:val="24"/>
          <w:lang w:eastAsia="pl-PL"/>
        </w:rPr>
        <w:lastRenderedPageBreak/>
        <w:t>własności dóbr nabytych w ramach projektu inwestycyjnego bez uprzedniego pisemnego poinformowania FRW.</w:t>
      </w:r>
    </w:p>
    <w:p w:rsidR="00EE1FD0" w:rsidRDefault="00EE1FD0" w:rsidP="00EE1FD0">
      <w:pPr>
        <w:autoSpaceDE w:val="0"/>
        <w:spacing w:after="240"/>
        <w:jc w:val="center"/>
        <w:rPr>
          <w:rFonts w:ascii="Times New Roman" w:eastAsia="Times New Roman" w:hAnsi="Times New Roman"/>
          <w:b/>
          <w:bCs/>
          <w:lang w:eastAsia="pl-PL"/>
        </w:rPr>
      </w:pPr>
      <w:r>
        <w:rPr>
          <w:rFonts w:ascii="Times New Roman" w:eastAsia="Times New Roman" w:hAnsi="Times New Roman"/>
          <w:b/>
          <w:bCs/>
          <w:lang w:eastAsia="pl-PL"/>
        </w:rPr>
        <w:t>X. Rozliczenie spłaty pożyczki i zwolnienie zabezpieczeń</w:t>
      </w: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38</w:t>
      </w:r>
    </w:p>
    <w:p w:rsidR="00EE1FD0" w:rsidRDefault="00EE1FD0" w:rsidP="00EE1FD0">
      <w:pPr>
        <w:autoSpaceDE w:val="0"/>
        <w:spacing w:after="24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Istnieje możliwość wcześniejszej spłaty pożyczki; w takim przypadku odsetki pobierane są jedynie za okres faktycznego zadłużenia. FRW nie pobiera prowizji za wcześniejszą spłatę pożyczki. </w:t>
      </w: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39</w:t>
      </w:r>
    </w:p>
    <w:p w:rsidR="00EE1FD0" w:rsidRDefault="00EE1FD0" w:rsidP="00EE1FD0">
      <w:pPr>
        <w:autoSpaceDE w:val="0"/>
        <w:spacing w:after="24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Ostatecznego rozliczenia spłaty pożyczki dokonuje się w terminie do 14 dni po zakończeniu spłaty pożyczki, powiadamiając na piśmie pożyczkobiorcę o ewentualnych różnicach (nadpłata / niedopłata). </w:t>
      </w:r>
    </w:p>
    <w:p w:rsidR="00EE1FD0" w:rsidRDefault="00EE1FD0" w:rsidP="00EE1FD0">
      <w:pPr>
        <w:autoSpaceDE w:val="0"/>
        <w:spacing w:after="0"/>
        <w:jc w:val="center"/>
        <w:rPr>
          <w:rFonts w:ascii="Times New Roman" w:eastAsia="Times New Roman" w:hAnsi="Times New Roman"/>
          <w:b/>
          <w:bCs/>
          <w:szCs w:val="24"/>
          <w:lang w:eastAsia="pl-PL"/>
        </w:rPr>
      </w:pPr>
      <w:r>
        <w:rPr>
          <w:rFonts w:ascii="Times New Roman" w:eastAsia="Times New Roman" w:hAnsi="Times New Roman"/>
          <w:b/>
          <w:bCs/>
          <w:szCs w:val="24"/>
          <w:lang w:eastAsia="pl-PL"/>
        </w:rPr>
        <w:t>§ 40</w:t>
      </w:r>
    </w:p>
    <w:p w:rsidR="00EE1FD0" w:rsidRDefault="00EE1FD0" w:rsidP="00EE1FD0">
      <w:pPr>
        <w:autoSpaceDE w:val="0"/>
        <w:spacing w:after="24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FRW zwalnia zabezpieczenia w terminie do 14 dni po rozliczeniu pożyczki.</w:t>
      </w:r>
    </w:p>
    <w:p w:rsidR="00EE1FD0" w:rsidRDefault="00EE1FD0" w:rsidP="00EE1FD0">
      <w:pPr>
        <w:autoSpaceDE w:val="0"/>
        <w:spacing w:after="240"/>
        <w:jc w:val="center"/>
        <w:rPr>
          <w:rFonts w:ascii="Times New Roman" w:eastAsia="Times New Roman" w:hAnsi="Times New Roman"/>
          <w:b/>
          <w:bCs/>
          <w:lang w:eastAsia="pl-PL"/>
        </w:rPr>
      </w:pPr>
      <w:r>
        <w:rPr>
          <w:rFonts w:ascii="Times New Roman" w:eastAsia="Times New Roman" w:hAnsi="Times New Roman"/>
          <w:b/>
          <w:bCs/>
          <w:lang w:eastAsia="pl-PL"/>
        </w:rPr>
        <w:t>XI. Postanowienia końcowe</w:t>
      </w:r>
    </w:p>
    <w:p w:rsidR="00EE1FD0" w:rsidRDefault="00EE1FD0" w:rsidP="00EE1FD0">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41</w:t>
      </w:r>
    </w:p>
    <w:p w:rsidR="00EE1FD0" w:rsidRDefault="00EE1FD0" w:rsidP="00EE1FD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Spory spowodowane działaniami Pożyczkobiorcy wbrew niniejszemu Regulaminowi i umowie pożyczki poddaje się pod rozstrzygnięcie sądu powszechnego właściwego miejscowo dla siedziby FRW.</w:t>
      </w:r>
    </w:p>
    <w:p w:rsidR="00EE1FD0" w:rsidRDefault="00EE1FD0" w:rsidP="00EE1FD0">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42</w:t>
      </w:r>
    </w:p>
    <w:p w:rsidR="00EE1FD0" w:rsidRDefault="00EE1FD0" w:rsidP="00EE1FD0">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sprawach nieuregulowanych Regulaminem Funduszu Pożyczkowego RPO IX zastosowanie mają obowiązujące zasady, postanowienia i reguły wynikające z RPO WD, procedury </w:t>
      </w:r>
      <w:r w:rsidR="00851895">
        <w:rPr>
          <w:rFonts w:ascii="Times New Roman" w:eastAsia="Times New Roman" w:hAnsi="Times New Roman"/>
          <w:sz w:val="24"/>
          <w:szCs w:val="24"/>
          <w:lang w:eastAsia="pl-PL"/>
        </w:rPr>
        <w:br/>
      </w:r>
      <w:r>
        <w:rPr>
          <w:rFonts w:ascii="Times New Roman" w:eastAsia="Times New Roman" w:hAnsi="Times New Roman"/>
          <w:sz w:val="24"/>
          <w:szCs w:val="24"/>
          <w:lang w:eastAsia="pl-PL"/>
        </w:rPr>
        <w:t>i Wytyczne oraz:</w:t>
      </w:r>
    </w:p>
    <w:p w:rsidR="00EE1FD0" w:rsidRDefault="00EE1FD0" w:rsidP="00EE1FD0">
      <w:pPr>
        <w:numPr>
          <w:ilvl w:val="0"/>
          <w:numId w:val="55"/>
        </w:numPr>
        <w:suppressAutoHyphens/>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przepisy prawa unijnego, a w tym w szczególności: </w:t>
      </w:r>
    </w:p>
    <w:p w:rsidR="00EE1FD0" w:rsidRDefault="00EE1FD0" w:rsidP="00EE1FD0">
      <w:pPr>
        <w:numPr>
          <w:ilvl w:val="1"/>
          <w:numId w:val="57"/>
        </w:numPr>
        <w:suppressAutoHyphens/>
        <w:autoSpaceDN w:val="0"/>
        <w:spacing w:after="0"/>
        <w:ind w:left="993"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Rozporządzenia Parlamentu Europejskiego i Rady (UE) Nr 1303/2103</w:t>
      </w:r>
    </w:p>
    <w:p w:rsidR="00EE1FD0" w:rsidRDefault="00EE1FD0" w:rsidP="00EE1FD0">
      <w:pPr>
        <w:numPr>
          <w:ilvl w:val="1"/>
          <w:numId w:val="56"/>
        </w:numPr>
        <w:suppressAutoHyphens/>
        <w:autoSpaceDN w:val="0"/>
        <w:spacing w:after="0"/>
        <w:ind w:left="993"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Rozporządzenia Delegowanego Komisji (UE) nr 480/2014</w:t>
      </w:r>
    </w:p>
    <w:p w:rsidR="00EE1FD0" w:rsidRDefault="00EE1FD0" w:rsidP="00EE1FD0">
      <w:pPr>
        <w:numPr>
          <w:ilvl w:val="1"/>
          <w:numId w:val="56"/>
        </w:numPr>
        <w:suppressAutoHyphens/>
        <w:autoSpaceDE w:val="0"/>
        <w:autoSpaceDN w:val="0"/>
        <w:spacing w:after="0"/>
        <w:ind w:left="993" w:hanging="426"/>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Rozporządzenia wykonawczego Komisji (UE) nr 821/2014 </w:t>
      </w:r>
    </w:p>
    <w:p w:rsidR="00EE1FD0" w:rsidRDefault="00EE1FD0" w:rsidP="00EE1FD0">
      <w:pPr>
        <w:numPr>
          <w:ilvl w:val="1"/>
          <w:numId w:val="56"/>
        </w:numPr>
        <w:suppressAutoHyphens/>
        <w:autoSpaceDN w:val="0"/>
        <w:spacing w:after="0"/>
        <w:ind w:left="993"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Rozporządzenia Komisji (UE) nr 651/2014</w:t>
      </w:r>
    </w:p>
    <w:p w:rsidR="00EE1FD0" w:rsidRDefault="00EE1FD0" w:rsidP="00EE1FD0">
      <w:pPr>
        <w:numPr>
          <w:ilvl w:val="1"/>
          <w:numId w:val="56"/>
        </w:numPr>
        <w:suppressAutoHyphens/>
        <w:autoSpaceDE w:val="0"/>
        <w:autoSpaceDN w:val="0"/>
        <w:spacing w:after="0"/>
        <w:ind w:left="993" w:hanging="426"/>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Rozporządzenia Komisji (UE) nr 1407/2013 </w:t>
      </w:r>
    </w:p>
    <w:p w:rsidR="00EE1FD0" w:rsidRDefault="00EE1FD0" w:rsidP="00EE1FD0">
      <w:pPr>
        <w:numPr>
          <w:ilvl w:val="1"/>
          <w:numId w:val="56"/>
        </w:numPr>
        <w:suppressAutoHyphens/>
        <w:autoSpaceDE w:val="0"/>
        <w:autoSpaceDN w:val="0"/>
        <w:spacing w:after="0"/>
        <w:ind w:left="993" w:hanging="426"/>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Rozporządzenia Parlamentu Europejskiego i Rady (UE, EURATOM) 2018/1046</w:t>
      </w:r>
    </w:p>
    <w:p w:rsidR="00EE1FD0" w:rsidRDefault="00EE1FD0" w:rsidP="00EE1FD0">
      <w:pPr>
        <w:numPr>
          <w:ilvl w:val="1"/>
          <w:numId w:val="56"/>
        </w:numPr>
        <w:suppressAutoHyphens/>
        <w:autoSpaceDE w:val="0"/>
        <w:autoSpaceDN w:val="0"/>
        <w:spacing w:after="0"/>
        <w:ind w:left="993" w:hanging="426"/>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Rozporządzenia Parlamentu Europejskiego i Rady (UE) 2016/679</w:t>
      </w:r>
    </w:p>
    <w:p w:rsidR="00EE1FD0" w:rsidRDefault="00EE1FD0" w:rsidP="00EE1FD0">
      <w:pPr>
        <w:numPr>
          <w:ilvl w:val="0"/>
          <w:numId w:val="56"/>
        </w:numPr>
        <w:suppressAutoHyphens/>
        <w:autoSpaceDN w:val="0"/>
        <w:spacing w:after="0"/>
        <w:ind w:left="709"/>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właściwe przepisy prawa polskiego, a w tym w szczególności: </w:t>
      </w:r>
    </w:p>
    <w:p w:rsidR="00EE1FD0" w:rsidRDefault="00EE1FD0" w:rsidP="00EE1FD0">
      <w:pPr>
        <w:numPr>
          <w:ilvl w:val="0"/>
          <w:numId w:val="59"/>
        </w:numPr>
        <w:tabs>
          <w:tab w:val="left" w:pos="993"/>
        </w:tabs>
        <w:suppressAutoHyphens/>
        <w:autoSpaceDN w:val="0"/>
        <w:spacing w:after="0"/>
        <w:ind w:left="993"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z dnia 11 lipca 2014 r. o zasadach realizacji programów w zakresie polityki spójności finansowanych w perspektywie finansowej 2014–2020</w:t>
      </w:r>
    </w:p>
    <w:p w:rsidR="00EE1FD0" w:rsidRDefault="00EE1FD0" w:rsidP="00EE1FD0">
      <w:pPr>
        <w:numPr>
          <w:ilvl w:val="0"/>
          <w:numId w:val="58"/>
        </w:numPr>
        <w:tabs>
          <w:tab w:val="left" w:pos="993"/>
        </w:tabs>
        <w:suppressAutoHyphens/>
        <w:autoSpaceDE w:val="0"/>
        <w:autoSpaceDN w:val="0"/>
        <w:spacing w:after="0"/>
        <w:ind w:left="993" w:hanging="426"/>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Ustawy z dnia 27 sierpnia 2009 r. o finansach publicznych </w:t>
      </w:r>
    </w:p>
    <w:p w:rsidR="00EE1FD0" w:rsidRDefault="00EE1FD0" w:rsidP="00EE1FD0">
      <w:pPr>
        <w:numPr>
          <w:ilvl w:val="0"/>
          <w:numId w:val="58"/>
        </w:numPr>
        <w:tabs>
          <w:tab w:val="left" w:pos="993"/>
        </w:tabs>
        <w:suppressAutoHyphens/>
        <w:autoSpaceDN w:val="0"/>
        <w:spacing w:after="0"/>
        <w:ind w:left="993"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z dnia 29 stycznia 2004 r. - Prawo zamówień publicznych</w:t>
      </w:r>
    </w:p>
    <w:p w:rsidR="00EE1FD0" w:rsidRDefault="00EE1FD0" w:rsidP="00EE1FD0">
      <w:pPr>
        <w:numPr>
          <w:ilvl w:val="0"/>
          <w:numId w:val="58"/>
        </w:numPr>
        <w:tabs>
          <w:tab w:val="left" w:pos="993"/>
        </w:tabs>
        <w:suppressAutoHyphens/>
        <w:autoSpaceDN w:val="0"/>
        <w:spacing w:after="0"/>
        <w:ind w:left="993" w:hanging="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z dnia 30 kwietnia 2004 r. o postępowaniu w sprawach dotyczących pomocy publicznej</w:t>
      </w:r>
    </w:p>
    <w:p w:rsidR="00EE1FD0" w:rsidRDefault="00EE1FD0" w:rsidP="00EE1FD0">
      <w:pPr>
        <w:numPr>
          <w:ilvl w:val="0"/>
          <w:numId w:val="58"/>
        </w:numPr>
        <w:tabs>
          <w:tab w:val="left" w:pos="993"/>
        </w:tabs>
        <w:suppressAutoHyphens/>
        <w:autoSpaceDN w:val="0"/>
        <w:spacing w:after="0"/>
        <w:ind w:left="993" w:hanging="426"/>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ustawy z dnia 10 maja 2018 r. o ochronie danych osobowych,</w:t>
      </w:r>
    </w:p>
    <w:p w:rsidR="00EE1FD0" w:rsidRDefault="00EE1FD0" w:rsidP="00EE1FD0">
      <w:pPr>
        <w:numPr>
          <w:ilvl w:val="0"/>
          <w:numId w:val="58"/>
        </w:numPr>
        <w:tabs>
          <w:tab w:val="left" w:pos="993"/>
        </w:tabs>
        <w:suppressAutoHyphens/>
        <w:autoSpaceDN w:val="0"/>
        <w:spacing w:after="0"/>
        <w:ind w:left="993" w:hanging="426"/>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ustawy z dnia 23 kwietnia 1964 r. – Kodeks cywilny.</w:t>
      </w:r>
    </w:p>
    <w:p w:rsidR="00EE1FD0" w:rsidRDefault="00EE1FD0" w:rsidP="00EE1FD0">
      <w:pPr>
        <w:numPr>
          <w:ilvl w:val="0"/>
          <w:numId w:val="58"/>
        </w:numPr>
        <w:tabs>
          <w:tab w:val="left" w:pos="993"/>
        </w:tabs>
        <w:suppressAutoHyphens/>
        <w:autoSpaceDN w:val="0"/>
        <w:spacing w:after="0"/>
        <w:ind w:left="993" w:hanging="426"/>
        <w:jc w:val="both"/>
        <w:textAlignment w:val="baseline"/>
      </w:pPr>
      <w:r>
        <w:rPr>
          <w:rFonts w:ascii="Times New Roman" w:eastAsia="Times New Roman" w:hAnsi="Times New Roman"/>
          <w:sz w:val="24"/>
          <w:szCs w:val="24"/>
          <w:lang w:eastAsia="pl-PL"/>
        </w:rPr>
        <w:t xml:space="preserve">Rozporządzenia Ministra Infrastruktury i Rozwoju w sprawie udzielania pomocy </w:t>
      </w:r>
      <w:r>
        <w:rPr>
          <w:rFonts w:ascii="Times New Roman" w:eastAsia="Times New Roman" w:hAnsi="Times New Roman"/>
          <w:i/>
          <w:sz w:val="24"/>
          <w:szCs w:val="24"/>
          <w:lang w:eastAsia="pl-PL"/>
        </w:rPr>
        <w:t>de </w:t>
      </w:r>
      <w:proofErr w:type="spellStart"/>
      <w:r>
        <w:rPr>
          <w:rFonts w:ascii="Times New Roman" w:eastAsia="Times New Roman" w:hAnsi="Times New Roman"/>
          <w:i/>
          <w:sz w:val="24"/>
          <w:szCs w:val="24"/>
          <w:lang w:eastAsia="pl-PL"/>
        </w:rPr>
        <w:t>minimis</w:t>
      </w:r>
      <w:proofErr w:type="spellEnd"/>
      <w:r>
        <w:rPr>
          <w:rFonts w:ascii="Times New Roman" w:eastAsia="Times New Roman" w:hAnsi="Times New Roman"/>
          <w:sz w:val="24"/>
          <w:szCs w:val="24"/>
          <w:lang w:eastAsia="pl-PL"/>
        </w:rPr>
        <w:t xml:space="preserve"> w ramach regionalnych programów operacyjnych na lata 2014–2020</w:t>
      </w: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851895" w:rsidRDefault="00851895" w:rsidP="00EE1FD0">
      <w:pPr>
        <w:spacing w:after="0"/>
        <w:jc w:val="center"/>
        <w:rPr>
          <w:rFonts w:ascii="Times New Roman" w:eastAsia="Times New Roman" w:hAnsi="Times New Roman"/>
          <w:b/>
          <w:sz w:val="24"/>
          <w:szCs w:val="24"/>
          <w:lang w:eastAsia="pl-PL"/>
        </w:rPr>
      </w:pPr>
    </w:p>
    <w:p w:rsidR="00EE1FD0" w:rsidRDefault="00EE1FD0" w:rsidP="00EE1FD0">
      <w:pPr>
        <w:spacing w:after="0"/>
        <w:jc w:val="center"/>
        <w:rPr>
          <w:rFonts w:ascii="Times New Roman" w:eastAsia="Times New Roman" w:hAnsi="Times New Roman"/>
          <w:b/>
          <w:sz w:val="24"/>
          <w:szCs w:val="24"/>
          <w:lang w:eastAsia="pl-PL"/>
        </w:rPr>
      </w:pPr>
    </w:p>
    <w:p w:rsidR="00AE1DB8" w:rsidRDefault="00EE1FD0">
      <w:r>
        <w:t xml:space="preserve">20.12.2019r. </w:t>
      </w:r>
    </w:p>
    <w:sectPr w:rsidR="00AE1DB8" w:rsidSect="00295203">
      <w:headerReference w:type="even" r:id="rId7"/>
      <w:headerReference w:type="default" r:id="rId8"/>
      <w:footerReference w:type="even" r:id="rId9"/>
      <w:footerReference w:type="default" r:id="rId10"/>
      <w:headerReference w:type="first" r:id="rId11"/>
      <w:footerReference w:type="first" r:id="rId12"/>
      <w:pgSz w:w="11906" w:h="16838"/>
      <w:pgMar w:top="1702"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596" w:rsidRDefault="00E53596" w:rsidP="00295203">
      <w:pPr>
        <w:spacing w:after="0" w:line="240" w:lineRule="auto"/>
      </w:pPr>
      <w:r>
        <w:separator/>
      </w:r>
    </w:p>
  </w:endnote>
  <w:endnote w:type="continuationSeparator" w:id="0">
    <w:p w:rsidR="00E53596" w:rsidRDefault="00E53596"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D52" w:rsidRDefault="005F3D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D52" w:rsidRDefault="005F3D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D52" w:rsidRDefault="005F3D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596" w:rsidRDefault="00E53596" w:rsidP="00295203">
      <w:pPr>
        <w:spacing w:after="0" w:line="240" w:lineRule="auto"/>
      </w:pPr>
      <w:r>
        <w:separator/>
      </w:r>
    </w:p>
  </w:footnote>
  <w:footnote w:type="continuationSeparator" w:id="0">
    <w:p w:rsidR="00E53596" w:rsidRDefault="00E53596" w:rsidP="0029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9E365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8495" o:spid="_x0000_s2062" type="#_x0000_t75" style="position:absolute;margin-left:0;margin-top:0;width:595.2pt;height:841.7pt;z-index:-251657216;mso-position-horizontal:center;mso-position-horizontal-relative:margin;mso-position-vertical:center;mso-position-vertical-relative:margin" o:allowincell="f">
          <v:imagedata r:id="rId1" o:title="frw_RPO_pozyczkaRozwojowa2019_pismoA4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9E365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8496" o:spid="_x0000_s2063" type="#_x0000_t75" style="position:absolute;margin-left:0;margin-top:0;width:595.2pt;height:841.7pt;z-index:-251656192;mso-position-horizontal:center;mso-position-horizontal-relative:margin;mso-position-vertical:center;mso-position-vertical-relative:margin" o:allowincell="f">
          <v:imagedata r:id="rId1" o:title="frw_RPO_pozyczkaRozwojowa2019_pismoA4_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03" w:rsidRDefault="009E365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8494" o:spid="_x0000_s2061" type="#_x0000_t75" style="position:absolute;margin-left:0;margin-top:0;width:595.2pt;height:841.7pt;z-index:-251658240;mso-position-horizontal:center;mso-position-horizontal-relative:margin;mso-position-vertical:center;mso-position-vertical-relative:margin" o:allowincell="f">
          <v:imagedata r:id="rId1" o:title="frw_RPO_pozyczkaRozwojowa2019_pismoA4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9E1"/>
    <w:multiLevelType w:val="multilevel"/>
    <w:tmpl w:val="6408F23E"/>
    <w:lvl w:ilvl="0">
      <w:start w:val="1"/>
      <w:numFmt w:val="low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6643AD"/>
    <w:multiLevelType w:val="multilevel"/>
    <w:tmpl w:val="2EF25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156B6D"/>
    <w:multiLevelType w:val="multilevel"/>
    <w:tmpl w:val="1A1894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4751F9"/>
    <w:multiLevelType w:val="multilevel"/>
    <w:tmpl w:val="03C26D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784AA0"/>
    <w:multiLevelType w:val="multilevel"/>
    <w:tmpl w:val="48100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561CF"/>
    <w:multiLevelType w:val="multilevel"/>
    <w:tmpl w:val="2F5682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2B1CD5"/>
    <w:multiLevelType w:val="multilevel"/>
    <w:tmpl w:val="7F487A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E65804"/>
    <w:multiLevelType w:val="multilevel"/>
    <w:tmpl w:val="9F04F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571650"/>
    <w:multiLevelType w:val="multilevel"/>
    <w:tmpl w:val="3C4A5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AA704B"/>
    <w:multiLevelType w:val="multilevel"/>
    <w:tmpl w:val="994206E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1918B3"/>
    <w:multiLevelType w:val="multilevel"/>
    <w:tmpl w:val="8DC66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7E7593"/>
    <w:multiLevelType w:val="multilevel"/>
    <w:tmpl w:val="9F16A428"/>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2B2379"/>
    <w:multiLevelType w:val="multilevel"/>
    <w:tmpl w:val="45B0D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294442"/>
    <w:multiLevelType w:val="multilevel"/>
    <w:tmpl w:val="ABF8C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C12DBA"/>
    <w:multiLevelType w:val="multilevel"/>
    <w:tmpl w:val="DE5AB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D2D16D3"/>
    <w:multiLevelType w:val="multilevel"/>
    <w:tmpl w:val="B6E896F2"/>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E60AC5"/>
    <w:multiLevelType w:val="multilevel"/>
    <w:tmpl w:val="C058A9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A8536E"/>
    <w:multiLevelType w:val="multilevel"/>
    <w:tmpl w:val="C9AC85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82F7586"/>
    <w:multiLevelType w:val="multilevel"/>
    <w:tmpl w:val="AC0CBB8A"/>
    <w:lvl w:ilvl="0">
      <w:start w:val="1"/>
      <w:numFmt w:val="decimal"/>
      <w:lvlText w:val="%1."/>
      <w:lvlJc w:val="left"/>
      <w:pPr>
        <w:ind w:left="705" w:hanging="705"/>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A71C3B"/>
    <w:multiLevelType w:val="multilevel"/>
    <w:tmpl w:val="96F49EE0"/>
    <w:lvl w:ilvl="0">
      <w:start w:val="1"/>
      <w:numFmt w:val="lowerLetter"/>
      <w:lvlText w:val="%1)"/>
      <w:lvlJc w:val="left"/>
      <w:pPr>
        <w:ind w:left="720" w:hanging="360"/>
      </w:pPr>
      <w:rPr>
        <w:b w:val="0"/>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52637F"/>
    <w:multiLevelType w:val="multilevel"/>
    <w:tmpl w:val="87AA17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5B4D29"/>
    <w:multiLevelType w:val="multilevel"/>
    <w:tmpl w:val="EC201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FB3577"/>
    <w:multiLevelType w:val="multilevel"/>
    <w:tmpl w:val="BF664AF4"/>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E45FD3"/>
    <w:multiLevelType w:val="multilevel"/>
    <w:tmpl w:val="CC767C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0CD39DB"/>
    <w:multiLevelType w:val="multilevel"/>
    <w:tmpl w:val="794CDD8C"/>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1397883"/>
    <w:multiLevelType w:val="multilevel"/>
    <w:tmpl w:val="AC20F9B2"/>
    <w:lvl w:ilvl="0">
      <w:start w:val="1"/>
      <w:numFmt w:val="lowerLetter"/>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6925F7"/>
    <w:multiLevelType w:val="multilevel"/>
    <w:tmpl w:val="655E33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CB05A0"/>
    <w:multiLevelType w:val="multilevel"/>
    <w:tmpl w:val="E0ACEA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7BA7837"/>
    <w:multiLevelType w:val="multilevel"/>
    <w:tmpl w:val="3CACE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BA12DD"/>
    <w:multiLevelType w:val="multilevel"/>
    <w:tmpl w:val="DA02F9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18"/>
    <w:lvlOverride w:ilvl="0">
      <w:startOverride w:val="1"/>
    </w:lvlOverride>
  </w:num>
  <w:num w:numId="3">
    <w:abstractNumId w:val="27"/>
  </w:num>
  <w:num w:numId="4">
    <w:abstractNumId w:val="27"/>
    <w:lvlOverride w:ilvl="0">
      <w:startOverride w:val="1"/>
    </w:lvlOverride>
  </w:num>
  <w:num w:numId="5">
    <w:abstractNumId w:val="19"/>
  </w:num>
  <w:num w:numId="6">
    <w:abstractNumId w:val="19"/>
    <w:lvlOverride w:ilvl="0">
      <w:startOverride w:val="1"/>
    </w:lvlOverride>
  </w:num>
  <w:num w:numId="7">
    <w:abstractNumId w:val="9"/>
  </w:num>
  <w:num w:numId="8">
    <w:abstractNumId w:val="9"/>
    <w:lvlOverride w:ilvl="0">
      <w:startOverride w:val="1"/>
    </w:lvlOverride>
  </w:num>
  <w:num w:numId="9">
    <w:abstractNumId w:val="2"/>
  </w:num>
  <w:num w:numId="10">
    <w:abstractNumId w:val="2"/>
    <w:lvlOverride w:ilvl="0">
      <w:startOverride w:val="1"/>
    </w:lvlOverride>
  </w:num>
  <w:num w:numId="11">
    <w:abstractNumId w:val="1"/>
  </w:num>
  <w:num w:numId="12">
    <w:abstractNumId w:val="1"/>
    <w:lvlOverride w:ilvl="0">
      <w:startOverride w:val="1"/>
    </w:lvlOverride>
  </w:num>
  <w:num w:numId="13">
    <w:abstractNumId w:val="16"/>
  </w:num>
  <w:num w:numId="14">
    <w:abstractNumId w:val="16"/>
    <w:lvlOverride w:ilvl="0">
      <w:startOverride w:val="1"/>
    </w:lvlOverride>
  </w:num>
  <w:num w:numId="15">
    <w:abstractNumId w:val="25"/>
  </w:num>
  <w:num w:numId="16">
    <w:abstractNumId w:val="25"/>
    <w:lvlOverride w:ilvl="0">
      <w:startOverride w:val="1"/>
    </w:lvlOverride>
  </w:num>
  <w:num w:numId="17">
    <w:abstractNumId w:val="3"/>
  </w:num>
  <w:num w:numId="18">
    <w:abstractNumId w:val="3"/>
    <w:lvlOverride w:ilvl="0">
      <w:startOverride w:val="1"/>
    </w:lvlOverride>
  </w:num>
  <w:num w:numId="19">
    <w:abstractNumId w:val="14"/>
  </w:num>
  <w:num w:numId="20">
    <w:abstractNumId w:val="14"/>
    <w:lvlOverride w:ilvl="0">
      <w:startOverride w:val="1"/>
    </w:lvlOverride>
  </w:num>
  <w:num w:numId="21">
    <w:abstractNumId w:val="26"/>
  </w:num>
  <w:num w:numId="22">
    <w:abstractNumId w:val="26"/>
    <w:lvlOverride w:ilvl="0">
      <w:startOverride w:val="1"/>
    </w:lvlOverride>
  </w:num>
  <w:num w:numId="23">
    <w:abstractNumId w:val="17"/>
  </w:num>
  <w:num w:numId="24">
    <w:abstractNumId w:val="17"/>
    <w:lvlOverride w:ilvl="0">
      <w:startOverride w:val="1"/>
    </w:lvlOverride>
  </w:num>
  <w:num w:numId="25">
    <w:abstractNumId w:val="23"/>
  </w:num>
  <w:num w:numId="26">
    <w:abstractNumId w:val="23"/>
    <w:lvlOverride w:ilvl="0">
      <w:startOverride w:val="1"/>
    </w:lvlOverride>
  </w:num>
  <w:num w:numId="27">
    <w:abstractNumId w:val="29"/>
  </w:num>
  <w:num w:numId="28">
    <w:abstractNumId w:val="29"/>
    <w:lvlOverride w:ilvl="0">
      <w:startOverride w:val="1"/>
    </w:lvlOverride>
  </w:num>
  <w:num w:numId="29">
    <w:abstractNumId w:val="22"/>
  </w:num>
  <w:num w:numId="30">
    <w:abstractNumId w:val="22"/>
    <w:lvlOverride w:ilvl="0">
      <w:startOverride w:val="1"/>
    </w:lvlOverride>
  </w:num>
  <w:num w:numId="31">
    <w:abstractNumId w:val="12"/>
  </w:num>
  <w:num w:numId="32">
    <w:abstractNumId w:val="12"/>
    <w:lvlOverride w:ilvl="0">
      <w:startOverride w:val="1"/>
    </w:lvlOverride>
  </w:num>
  <w:num w:numId="33">
    <w:abstractNumId w:val="0"/>
  </w:num>
  <w:num w:numId="34">
    <w:abstractNumId w:val="0"/>
    <w:lvlOverride w:ilvl="0">
      <w:startOverride w:val="1"/>
    </w:lvlOverride>
  </w:num>
  <w:num w:numId="35">
    <w:abstractNumId w:val="5"/>
  </w:num>
  <w:num w:numId="36">
    <w:abstractNumId w:val="5"/>
    <w:lvlOverride w:ilvl="0">
      <w:startOverride w:val="1"/>
    </w:lvlOverride>
  </w:num>
  <w:num w:numId="37">
    <w:abstractNumId w:val="6"/>
  </w:num>
  <w:num w:numId="38">
    <w:abstractNumId w:val="6"/>
    <w:lvlOverride w:ilvl="0">
      <w:startOverride w:val="1"/>
    </w:lvlOverride>
    <w:lvlOverride w:ilvl="1">
      <w:startOverride w:val="1"/>
    </w:lvlOverride>
  </w:num>
  <w:num w:numId="39">
    <w:abstractNumId w:val="10"/>
  </w:num>
  <w:num w:numId="40">
    <w:abstractNumId w:val="10"/>
    <w:lvlOverride w:ilvl="0">
      <w:startOverride w:val="1"/>
    </w:lvlOverride>
  </w:num>
  <w:num w:numId="41">
    <w:abstractNumId w:val="7"/>
  </w:num>
  <w:num w:numId="42">
    <w:abstractNumId w:val="7"/>
    <w:lvlOverride w:ilvl="0">
      <w:startOverride w:val="1"/>
    </w:lvlOverride>
  </w:num>
  <w:num w:numId="43">
    <w:abstractNumId w:val="13"/>
  </w:num>
  <w:num w:numId="44">
    <w:abstractNumId w:val="13"/>
    <w:lvlOverride w:ilvl="0">
      <w:startOverride w:val="1"/>
    </w:lvlOverride>
  </w:num>
  <w:num w:numId="45">
    <w:abstractNumId w:val="28"/>
  </w:num>
  <w:num w:numId="46">
    <w:abstractNumId w:val="28"/>
    <w:lvlOverride w:ilvl="0">
      <w:startOverride w:val="1"/>
    </w:lvlOverride>
  </w:num>
  <w:num w:numId="47">
    <w:abstractNumId w:val="11"/>
  </w:num>
  <w:num w:numId="48">
    <w:abstractNumId w:val="11"/>
    <w:lvlOverride w:ilvl="0">
      <w:startOverride w:val="1"/>
    </w:lvlOverride>
  </w:num>
  <w:num w:numId="49">
    <w:abstractNumId w:val="8"/>
  </w:num>
  <w:num w:numId="50">
    <w:abstractNumId w:val="8"/>
    <w:lvlOverride w:ilvl="0">
      <w:startOverride w:val="1"/>
    </w:lvlOverride>
  </w:num>
  <w:num w:numId="51">
    <w:abstractNumId w:val="21"/>
  </w:num>
  <w:num w:numId="52">
    <w:abstractNumId w:val="21"/>
    <w:lvlOverride w:ilvl="0">
      <w:startOverride w:val="1"/>
    </w:lvlOverride>
  </w:num>
  <w:num w:numId="53">
    <w:abstractNumId w:val="4"/>
  </w:num>
  <w:num w:numId="54">
    <w:abstractNumId w:val="4"/>
    <w:lvlOverride w:ilvl="0">
      <w:startOverride w:val="1"/>
    </w:lvlOverride>
  </w:num>
  <w:num w:numId="55">
    <w:abstractNumId w:val="15"/>
    <w:lvlOverride w:ilvl="0">
      <w:startOverride w:val="1"/>
    </w:lvlOverride>
  </w:num>
  <w:num w:numId="56">
    <w:abstractNumId w:val="24"/>
  </w:num>
  <w:num w:numId="57">
    <w:abstractNumId w:val="24"/>
    <w:lvlOverride w:ilvl="0">
      <w:startOverride w:val="1"/>
    </w:lvlOverride>
    <w:lvlOverride w:ilvl="1">
      <w:startOverride w:val="1"/>
    </w:lvlOverride>
  </w:num>
  <w:num w:numId="58">
    <w:abstractNumId w:val="20"/>
  </w:num>
  <w:num w:numId="59">
    <w:abstractNumId w:val="20"/>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03"/>
    <w:rsid w:val="00135A03"/>
    <w:rsid w:val="001923A0"/>
    <w:rsid w:val="00295203"/>
    <w:rsid w:val="00301B33"/>
    <w:rsid w:val="00327BBE"/>
    <w:rsid w:val="003F384A"/>
    <w:rsid w:val="00463794"/>
    <w:rsid w:val="005F3D52"/>
    <w:rsid w:val="0073718F"/>
    <w:rsid w:val="007F60E2"/>
    <w:rsid w:val="00851895"/>
    <w:rsid w:val="009E3659"/>
    <w:rsid w:val="00A750E0"/>
    <w:rsid w:val="00AE1DB8"/>
    <w:rsid w:val="00C03CC5"/>
    <w:rsid w:val="00C760C8"/>
    <w:rsid w:val="00E30180"/>
    <w:rsid w:val="00E53596"/>
    <w:rsid w:val="00EE1FD0"/>
    <w:rsid w:val="00F35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16A3B15"/>
  <w15:docId w15:val="{9415B964-9911-47B3-8DE3-40D7C017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D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customStyle="1" w:styleId="Default">
    <w:name w:val="Default"/>
    <w:rsid w:val="00EE1FD0"/>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styleId="Akapitzlist">
    <w:name w:val="List Paragraph"/>
    <w:basedOn w:val="Normalny"/>
    <w:uiPriority w:val="34"/>
    <w:qFormat/>
    <w:rsid w:val="009E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4395</Words>
  <Characters>26376</Characters>
  <Application>Microsoft Office Word</Application>
  <DocSecurity>0</DocSecurity>
  <Lines>219</Lines>
  <Paragraphs>61</Paragraphs>
  <ScaleCrop>false</ScaleCrop>
  <Company>KAWKA</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admin</cp:lastModifiedBy>
  <cp:revision>3</cp:revision>
  <dcterms:created xsi:type="dcterms:W3CDTF">2020-01-14T09:40:00Z</dcterms:created>
  <dcterms:modified xsi:type="dcterms:W3CDTF">2020-01-16T12:31:00Z</dcterms:modified>
</cp:coreProperties>
</file>