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521" w:rsidRDefault="00AA1521" w:rsidP="00AA1521">
      <w:pPr>
        <w:jc w:val="center"/>
        <w:rPr>
          <w:rFonts w:ascii="Calibri" w:eastAsia="Times New Roman" w:hAnsi="Calibri" w:cs="Times New Roman"/>
          <w:b/>
          <w:sz w:val="28"/>
          <w:szCs w:val="28"/>
          <w:lang w:eastAsia="pl-PL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pl-PL"/>
        </w:rPr>
        <w:t>Dokumentacja dotycząca wybranej formy zabezpieczenia</w:t>
      </w:r>
    </w:p>
    <w:p w:rsidR="00AA1521" w:rsidRDefault="00AA1521" w:rsidP="00AA1521">
      <w:pPr>
        <w:rPr>
          <w:rFonts w:ascii="Calibri" w:eastAsia="Times New Roman" w:hAnsi="Calibri" w:cs="Times New Roman"/>
          <w:b/>
          <w:u w:val="single"/>
          <w:lang w:eastAsia="pl-PL"/>
        </w:rPr>
      </w:pPr>
      <w:r>
        <w:rPr>
          <w:rFonts w:ascii="Calibri" w:eastAsia="Times New Roman" w:hAnsi="Calibri" w:cs="Times New Roman"/>
          <w:b/>
          <w:u w:val="single"/>
          <w:lang w:eastAsia="pl-PL"/>
        </w:rPr>
        <w:t>WEKSEL IN BLANCO</w:t>
      </w:r>
    </w:p>
    <w:p w:rsidR="00AA1521" w:rsidRDefault="00AA1521" w:rsidP="00AA152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Cs/>
        </w:rPr>
        <w:t xml:space="preserve">- w przypadku pożyczek do kwoty 20 tys. zł, jeżeli MŚP  posiada zdolność do </w:t>
      </w:r>
      <w:r>
        <w:rPr>
          <w:rFonts w:ascii="Calibri" w:eastAsia="Calibri" w:hAnsi="Calibri" w:cs="Times New Roman"/>
        </w:rPr>
        <w:t>spłaty pożyczki wraz z odsetkami a jego sytuacja majątkowa jest stabilna.</w:t>
      </w:r>
    </w:p>
    <w:p w:rsidR="00AA1521" w:rsidRDefault="00AA1521" w:rsidP="00AA1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A1521" w:rsidRDefault="00AA1521" w:rsidP="00AA152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</w:rPr>
      </w:pPr>
      <w:r>
        <w:rPr>
          <w:rFonts w:ascii="Calibri" w:eastAsia="Calibri" w:hAnsi="Calibri" w:cs="Times New Roman"/>
          <w:b/>
        </w:rPr>
        <w:t xml:space="preserve">w pozostałych przypadkach </w:t>
      </w:r>
      <w:r>
        <w:rPr>
          <w:rFonts w:ascii="Calibri" w:eastAsia="Calibri" w:hAnsi="Calibri" w:cs="Times New Roman"/>
          <w:b/>
          <w:bCs/>
        </w:rPr>
        <w:t xml:space="preserve">weksel własny niezupełny (in blanco) oraz druga forma prawnego zabezpieczenia spłaty pożyczki. </w:t>
      </w:r>
    </w:p>
    <w:p w:rsidR="00AA1521" w:rsidRDefault="00AA1521" w:rsidP="00AA1521">
      <w:pPr>
        <w:rPr>
          <w:rFonts w:ascii="Calibri" w:eastAsia="Times New Roman" w:hAnsi="Calibri" w:cs="Times New Roman"/>
          <w:b/>
          <w:u w:val="single"/>
          <w:lang w:eastAsia="pl-PL"/>
        </w:rPr>
      </w:pPr>
    </w:p>
    <w:p w:rsidR="00AA1521" w:rsidRDefault="00AA1521" w:rsidP="00AA152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Ostateczna forma zabezpieczenia spłaty pożyczki ustalana jest indywidualnie i zależna jest od wyniku oceny ryzyka niespłacenia pożyczki  przez Pożyczkobiorcę i jego stanu majątkowego.</w:t>
      </w:r>
    </w:p>
    <w:p w:rsidR="00AA1521" w:rsidRDefault="00AA1521" w:rsidP="00AA1521">
      <w:pPr>
        <w:rPr>
          <w:rFonts w:ascii="Calibri" w:eastAsia="Times New Roman" w:hAnsi="Calibri" w:cs="Times New Roman"/>
          <w:b/>
          <w:u w:val="single"/>
          <w:lang w:eastAsia="pl-PL"/>
        </w:rPr>
      </w:pPr>
    </w:p>
    <w:p w:rsidR="00AA1521" w:rsidRDefault="00AA1521" w:rsidP="00AA1521">
      <w:pPr>
        <w:rPr>
          <w:rFonts w:ascii="Calibri" w:eastAsia="Times New Roman" w:hAnsi="Calibri" w:cs="Times New Roman"/>
          <w:b/>
          <w:u w:val="single"/>
          <w:lang w:eastAsia="pl-PL"/>
        </w:rPr>
      </w:pPr>
      <w:r>
        <w:rPr>
          <w:rFonts w:ascii="Calibri" w:eastAsia="Times New Roman" w:hAnsi="Calibri" w:cs="Times New Roman"/>
          <w:b/>
          <w:u w:val="single"/>
          <w:lang w:eastAsia="pl-PL"/>
        </w:rPr>
        <w:t>PORĘCZENIE WEKSLOWE OSOBY FIZYCZNEJ</w:t>
      </w:r>
    </w:p>
    <w:p w:rsidR="00AA1521" w:rsidRDefault="00AA1521" w:rsidP="00AA1521">
      <w:pPr>
        <w:tabs>
          <w:tab w:val="left" w:pos="851"/>
        </w:tabs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Uwaga!</w:t>
      </w:r>
      <w:r>
        <w:rPr>
          <w:rFonts w:ascii="Calibri" w:eastAsia="Times New Roman" w:hAnsi="Calibri" w:cs="Times New Roman"/>
          <w:b/>
          <w:lang w:eastAsia="pl-PL"/>
        </w:rPr>
        <w:tab/>
      </w:r>
      <w:r>
        <w:rPr>
          <w:rFonts w:ascii="Calibri" w:eastAsia="Times New Roman" w:hAnsi="Calibri" w:cs="Times New Roman"/>
          <w:lang w:eastAsia="pl-PL"/>
        </w:rPr>
        <w:t xml:space="preserve">W przypadku pozostawania poręczyciela w związku małżeńskim, w którym wspólność  małżeńska nie została ograniczona ani wyłączona, wymagane jest poręczenie obojga </w:t>
      </w:r>
      <w:r>
        <w:rPr>
          <w:rFonts w:ascii="Calibri" w:eastAsia="Times New Roman" w:hAnsi="Calibri" w:cs="Times New Roman"/>
          <w:lang w:eastAsia="pl-PL"/>
        </w:rPr>
        <w:tab/>
        <w:t>małżonków.</w:t>
      </w:r>
    </w:p>
    <w:p w:rsidR="00AA1521" w:rsidRDefault="00AA1521" w:rsidP="00AA1521">
      <w:pPr>
        <w:tabs>
          <w:tab w:val="left" w:pos="851"/>
        </w:tabs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ab/>
        <w:t xml:space="preserve">Nie są akceptowane dochody poręczycieli osiągane poza granicami kraju.  </w:t>
      </w:r>
    </w:p>
    <w:p w:rsidR="00AA1521" w:rsidRDefault="00AA1521" w:rsidP="00AA1521">
      <w:pPr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( Emeryta)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kwestionariusz Poręczyciela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kopia decyzji o przyznaniu emerytury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wyciąg bankowy potwierdzający wpływ emerytury na rachunek za ostatni miesiąc lub pokwitowanie odbioru w przypadku otrzymywania emerytury w formie gotówkowej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kopia dokumentu tożsamości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(Umowa o pracę)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 xml:space="preserve">- </w:t>
      </w:r>
      <w:r>
        <w:rPr>
          <w:rFonts w:ascii="Calibri" w:eastAsia="Times New Roman" w:hAnsi="Calibri" w:cs="Times New Roman"/>
          <w:lang w:eastAsia="pl-PL"/>
        </w:rPr>
        <w:t>kwestionariusz poręczyciela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zaświadczenie o zatrudnieniu wypełnione przez zakład pracy (nie starsze niż 30 dni)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wyciąg bankowy potwierdzający wpływ wynagrodzenia na rachunek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kopia dokumentu tożsamości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(Działalność gospodarcza, prowadzona co najmniej 2 lata)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 xml:space="preserve">- </w:t>
      </w:r>
      <w:r>
        <w:rPr>
          <w:rFonts w:ascii="Calibri" w:eastAsia="Times New Roman" w:hAnsi="Calibri" w:cs="Times New Roman"/>
          <w:lang w:eastAsia="pl-PL"/>
        </w:rPr>
        <w:t>kwestionariusz poręczyciela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kopie dokumentów rejestrowych prowadzonej działalności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deklaracje podatkowe za dwa ostatnie lata wraz z potwierdzeniem ich złożenia do US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lastRenderedPageBreak/>
        <w:t>- dokumenty finansowe za bieżący rok (sprawozdania finansowe: bilans, rachunek zysków i strat lub zestawienie książki przychodów i rozchodów )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ewidencja środków trwałych wraz z amortyzacją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b/>
          <w:u w:val="single"/>
          <w:lang w:eastAsia="pl-PL"/>
        </w:rPr>
      </w:pP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b/>
          <w:u w:val="single"/>
          <w:lang w:eastAsia="pl-PL"/>
        </w:rPr>
      </w:pPr>
      <w:r>
        <w:rPr>
          <w:rFonts w:ascii="Calibri" w:eastAsia="Times New Roman" w:hAnsi="Calibri" w:cs="Times New Roman"/>
          <w:b/>
          <w:u w:val="single"/>
          <w:lang w:eastAsia="pl-PL"/>
        </w:rPr>
        <w:t>PORĘCZENIE WEKSLOWE OSOBY PRAWNEJ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dokumenty rejestrowe spółki 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deklaracje podatkowe za dwa ostatnie lata wraz z potwierdzeniem ich złożenia do US oraz sprawozdania finansowe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sprawozdania finansowe za bieżący rok- ostatni ukończony kwartał 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zgoda na weryfikację Poręczyciela w bazach - </w:t>
      </w:r>
      <w:proofErr w:type="spellStart"/>
      <w:r>
        <w:rPr>
          <w:rFonts w:ascii="Calibri" w:eastAsia="Times New Roman" w:hAnsi="Calibri" w:cs="Times New Roman"/>
          <w:lang w:eastAsia="pl-PL"/>
        </w:rPr>
        <w:t>InfoMonitor</w:t>
      </w:r>
      <w:proofErr w:type="spellEnd"/>
      <w:r>
        <w:rPr>
          <w:rFonts w:ascii="Calibri" w:eastAsia="Times New Roman" w:hAnsi="Calibri" w:cs="Times New Roman"/>
          <w:lang w:eastAsia="pl-PL"/>
        </w:rPr>
        <w:t xml:space="preserve"> i KRD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oświadczenie o terminowości spłaty zobowiązań publiczno-prawnych (ZUS,US)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oświadczenie o posiadanych zobowiązań finansowych (ich wysokość , termin spłaty) wraz z informacją o terminowości ich obsługi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kopia dokumentów tożsamości osób uprawionych do zeprezentowania spółki</w:t>
      </w: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b/>
          <w:lang w:eastAsia="pl-PL"/>
        </w:rPr>
      </w:pPr>
    </w:p>
    <w:p w:rsidR="00AA1521" w:rsidRDefault="00AA1521" w:rsidP="00AA1521">
      <w:pPr>
        <w:spacing w:line="240" w:lineRule="auto"/>
        <w:rPr>
          <w:rFonts w:ascii="Calibri" w:eastAsia="Times New Roman" w:hAnsi="Calibri" w:cs="Times New Roman"/>
          <w:b/>
          <w:u w:val="single"/>
          <w:lang w:eastAsia="pl-PL"/>
        </w:rPr>
      </w:pPr>
      <w:r>
        <w:rPr>
          <w:rFonts w:ascii="Calibri" w:eastAsia="Times New Roman" w:hAnsi="Calibri" w:cs="Times New Roman"/>
          <w:b/>
          <w:u w:val="single"/>
          <w:lang w:eastAsia="pl-PL"/>
        </w:rPr>
        <w:t>HIPOTEKA NA NIERUCHOMOŚCI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Uwaga!</w:t>
      </w:r>
      <w:r>
        <w:rPr>
          <w:rFonts w:ascii="Calibri" w:eastAsia="Times New Roman" w:hAnsi="Calibri" w:cs="Times New Roman"/>
          <w:lang w:eastAsia="pl-PL"/>
        </w:rPr>
        <w:t xml:space="preserve"> Fundusz przyjmuje na zabezpieczenie nieruchomości użytkowe. W drodze wyjątku gdy </w:t>
      </w:r>
      <w:r>
        <w:rPr>
          <w:rFonts w:ascii="Calibri" w:eastAsia="Times New Roman" w:hAnsi="Calibri" w:cs="Times New Roman"/>
          <w:lang w:eastAsia="pl-PL"/>
        </w:rPr>
        <w:tab/>
        <w:t xml:space="preserve">Wnioskodawca posiada dwa lokale mieszkalne, a nieruchomość na zabezpieczenie nie jest </w:t>
      </w:r>
      <w:r>
        <w:rPr>
          <w:rFonts w:ascii="Calibri" w:eastAsia="Times New Roman" w:hAnsi="Calibri" w:cs="Times New Roman"/>
          <w:lang w:eastAsia="pl-PL"/>
        </w:rPr>
        <w:tab/>
        <w:t>przez niego zamieszkiwana Fundusz może ustanowić hipotekę na lokalu mieszkalnym.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ab/>
        <w:t xml:space="preserve">Weryfikacja wartości nieruchomości odbywa się na podstawie operatu szacunkowego lub </w:t>
      </w:r>
      <w:r>
        <w:rPr>
          <w:rFonts w:ascii="Calibri" w:eastAsia="Times New Roman" w:hAnsi="Calibri" w:cs="Times New Roman"/>
          <w:lang w:eastAsia="pl-PL"/>
        </w:rPr>
        <w:tab/>
        <w:t xml:space="preserve">ustalonej ceny zakupu. W drodze wyjątku gdy wartość nieruchomości na zabezpieczenie jest </w:t>
      </w:r>
      <w:r>
        <w:rPr>
          <w:rFonts w:ascii="Calibri" w:eastAsia="Times New Roman" w:hAnsi="Calibri" w:cs="Times New Roman"/>
          <w:lang w:eastAsia="pl-PL"/>
        </w:rPr>
        <w:tab/>
        <w:t xml:space="preserve">możliwa do ustalenia metodą porównawczą poza wszelką wątpliwość, Fundusz może </w:t>
      </w:r>
      <w:r>
        <w:rPr>
          <w:rFonts w:ascii="Calibri" w:eastAsia="Times New Roman" w:hAnsi="Calibri" w:cs="Times New Roman"/>
          <w:lang w:eastAsia="pl-PL"/>
        </w:rPr>
        <w:tab/>
        <w:t xml:space="preserve">odstąpić od weryfikacji operatu szacunkowego. 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ab/>
        <w:t xml:space="preserve">Ustanowienie hipoteki na nieruchomości odbywa się wyłącznie za pośrednictwem notariusza, </w:t>
      </w:r>
      <w:r>
        <w:rPr>
          <w:rFonts w:ascii="Calibri" w:eastAsia="Times New Roman" w:hAnsi="Calibri" w:cs="Times New Roman"/>
          <w:lang w:eastAsia="pl-PL"/>
        </w:rPr>
        <w:tab/>
        <w:t xml:space="preserve">który składa wniosek do Wydziału Ksiąg Wieczystych w imieniu Pożyczkobiorcy. 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ab/>
        <w:t xml:space="preserve">Środki z pożyczki mogą być uruchomione po ustanowieniu zabezpieczenia, tj. złożenia </w:t>
      </w:r>
      <w:r>
        <w:rPr>
          <w:rFonts w:ascii="Calibri" w:eastAsia="Times New Roman" w:hAnsi="Calibri" w:cs="Times New Roman"/>
          <w:lang w:eastAsia="pl-PL"/>
        </w:rPr>
        <w:tab/>
        <w:t xml:space="preserve">wniosku o wpis </w:t>
      </w:r>
      <w:r>
        <w:rPr>
          <w:rFonts w:ascii="Calibri" w:eastAsia="Times New Roman" w:hAnsi="Calibri" w:cs="Times New Roman"/>
          <w:lang w:eastAsia="pl-PL"/>
        </w:rPr>
        <w:tab/>
        <w:t xml:space="preserve">hipoteki do Księgi Wieczystej. W wyjątkowych przypadkach, gdy sprzedającym nieruchomość jest jednostka samorządu  terytorialnego, środki z pożyczki mogą być uruchomione przed złożeniem wniosku o wpis hipoteki. 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Dokumenty: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- odpis z Księgi Wieczystej nieruchomości 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lastRenderedPageBreak/>
        <w:t xml:space="preserve">- </w:t>
      </w:r>
      <w:proofErr w:type="spellStart"/>
      <w:r>
        <w:rPr>
          <w:rFonts w:ascii="Calibri" w:eastAsia="Times New Roman" w:hAnsi="Calibri" w:cs="Times New Roman"/>
          <w:lang w:eastAsia="pl-PL"/>
        </w:rPr>
        <w:t>wyrys</w:t>
      </w:r>
      <w:proofErr w:type="spellEnd"/>
      <w:r>
        <w:rPr>
          <w:rFonts w:ascii="Calibri" w:eastAsia="Times New Roman" w:hAnsi="Calibri" w:cs="Times New Roman"/>
          <w:lang w:eastAsia="pl-PL"/>
        </w:rPr>
        <w:t xml:space="preserve"> mapy oraz wypis z  ewidencji gruntów i budynków w przypadku nieruchomości gruntowych i budynków wolnostojących 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operat szacunkowy (konieczny gdy wartości nieruchomości nie można ustalić metodą porównawczą ponad wszelką wątpliwość)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przedwstępna umowa sprzedaży lub oświadczenie zbywcy ze wskazaniem ustalonej ceny sprzedaży oraz  terminu i sposobu zapłaty w przypadku gdy zabezpieczeniem ma być kupowana nieruchomość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umowa  nabycia nieruchomości (akt notarialny, darowizna) w przypadku ustanowienia hipoteki na posiadanej nieruchomości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oświadczenie właściciela nieruchomości zawierające zgodę na ustanowienie hipoteki , w przypadku, gdy jest nią inna osoba, niż Wnioskodawca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lang w:eastAsia="pl-PL"/>
        </w:rPr>
      </w:pPr>
    </w:p>
    <w:p w:rsidR="00AA1521" w:rsidRDefault="00AA1521" w:rsidP="00AA1521">
      <w:pPr>
        <w:jc w:val="both"/>
        <w:rPr>
          <w:rFonts w:ascii="Calibri" w:eastAsia="Times New Roman" w:hAnsi="Calibri" w:cs="Times New Roman"/>
          <w:b/>
          <w:u w:val="single"/>
          <w:lang w:eastAsia="pl-PL"/>
        </w:rPr>
      </w:pPr>
      <w:r>
        <w:rPr>
          <w:rFonts w:ascii="Calibri" w:eastAsia="Times New Roman" w:hAnsi="Calibri" w:cs="Times New Roman"/>
          <w:b/>
          <w:u w:val="single"/>
          <w:lang w:eastAsia="pl-PL"/>
        </w:rPr>
        <w:t xml:space="preserve">PRZEWŁASZCZENIE ŚRODKÓW TRWAŁYCH 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Uwaga!</w:t>
      </w:r>
      <w:r>
        <w:rPr>
          <w:rFonts w:ascii="Calibri" w:eastAsia="Times New Roman" w:hAnsi="Calibri" w:cs="Times New Roman"/>
          <w:lang w:eastAsia="pl-PL"/>
        </w:rPr>
        <w:t xml:space="preserve"> Weryfikując i akceptując zabezpieczenie w postaci przewłaszczenia środków trwałych </w:t>
      </w:r>
      <w:r>
        <w:rPr>
          <w:rFonts w:ascii="Calibri" w:eastAsia="Times New Roman" w:hAnsi="Calibri" w:cs="Times New Roman"/>
          <w:lang w:eastAsia="pl-PL"/>
        </w:rPr>
        <w:tab/>
        <w:t xml:space="preserve">Fundusz bierze pod uwagę w szczególności ich obecną wartość, potencjalną utratę wartości </w:t>
      </w:r>
      <w:r>
        <w:rPr>
          <w:rFonts w:ascii="Calibri" w:eastAsia="Times New Roman" w:hAnsi="Calibri" w:cs="Times New Roman"/>
          <w:lang w:eastAsia="pl-PL"/>
        </w:rPr>
        <w:tab/>
        <w:t xml:space="preserve">w czasie oraz płynność (możliwość odsprzedaży). Z zasady nie są akceptowane drobne środki </w:t>
      </w:r>
      <w:r>
        <w:rPr>
          <w:rFonts w:ascii="Calibri" w:eastAsia="Times New Roman" w:hAnsi="Calibri" w:cs="Times New Roman"/>
          <w:lang w:eastAsia="pl-PL"/>
        </w:rPr>
        <w:tab/>
        <w:t xml:space="preserve">trwałe w postaci wyposażenia, np.; meble, sprzęt komputerowy czy też wysoce </w:t>
      </w:r>
      <w:r>
        <w:rPr>
          <w:rFonts w:ascii="Calibri" w:eastAsia="Times New Roman" w:hAnsi="Calibri" w:cs="Times New Roman"/>
          <w:lang w:eastAsia="pl-PL"/>
        </w:rPr>
        <w:tab/>
        <w:t xml:space="preserve">specjalistyczne </w:t>
      </w:r>
      <w:r>
        <w:rPr>
          <w:rFonts w:ascii="Calibri" w:eastAsia="Times New Roman" w:hAnsi="Calibri" w:cs="Times New Roman"/>
          <w:lang w:eastAsia="pl-PL"/>
        </w:rPr>
        <w:tab/>
        <w:t xml:space="preserve">środki </w:t>
      </w:r>
      <w:r>
        <w:rPr>
          <w:rFonts w:ascii="Calibri" w:eastAsia="Times New Roman" w:hAnsi="Calibri" w:cs="Times New Roman"/>
          <w:lang w:eastAsia="pl-PL"/>
        </w:rPr>
        <w:tab/>
        <w:t>trwałe, dla których nie istnieje rynek wtórny, co ograniczałoby możliwość ich odsprzedaży.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ab/>
        <w:t xml:space="preserve">Weryfikacja wartości zabezpieczenia odbywa się na podstawie wyceny rzeczoznawcy, </w:t>
      </w:r>
      <w:r>
        <w:rPr>
          <w:rFonts w:ascii="Calibri" w:eastAsia="Times New Roman" w:hAnsi="Calibri" w:cs="Times New Roman"/>
          <w:lang w:eastAsia="pl-PL"/>
        </w:rPr>
        <w:tab/>
        <w:t xml:space="preserve">ustalonej ceny zakupu, polisy ubezpieczenia lub metodą porównawczą, w przypadku </w:t>
      </w:r>
      <w:r>
        <w:rPr>
          <w:rFonts w:ascii="Calibri" w:eastAsia="Times New Roman" w:hAnsi="Calibri" w:cs="Times New Roman"/>
          <w:lang w:eastAsia="pl-PL"/>
        </w:rPr>
        <w:tab/>
        <w:t xml:space="preserve">możliwości ustalenia wartości ponad wszelką wątpliwość. 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lang w:eastAsia="pl-PL"/>
        </w:rPr>
      </w:pPr>
    </w:p>
    <w:p w:rsidR="00AA1521" w:rsidRDefault="00AA1521" w:rsidP="00AA1521">
      <w:pPr>
        <w:jc w:val="both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 xml:space="preserve">Dokumentacja: </w:t>
      </w:r>
    </w:p>
    <w:p w:rsidR="00AA1521" w:rsidRDefault="00AA1521" w:rsidP="00AA1521">
      <w:pPr>
        <w:spacing w:line="240" w:lineRule="auto"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oferta kupna/sprzedaży środków trwałych (faktura pro forma/ oferta handlowa) w przypadku przewłaszczenia kupowanych środków trwałych</w:t>
      </w:r>
    </w:p>
    <w:p w:rsidR="00AA1521" w:rsidRDefault="00AA1521" w:rsidP="00AA1521">
      <w:pPr>
        <w:spacing w:line="240" w:lineRule="auto"/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dokumenty potwierdzające nabycie środków trwałych (faktury/rachunki) w przypadku przewłaszczenia  już posiadanych środków trwałych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- kopia dowodu rejestracyjnego w przypadku przewłaszczenia pojazdu podlegającego rejestracji w Wydziale Komunikacji</w:t>
      </w:r>
    </w:p>
    <w:p w:rsidR="00AA1521" w:rsidRDefault="00AA1521" w:rsidP="00AA1521">
      <w:pPr>
        <w:jc w:val="both"/>
        <w:rPr>
          <w:rFonts w:ascii="Calibri" w:eastAsia="Times New Roman" w:hAnsi="Calibri" w:cs="Times New Roman"/>
          <w:lang w:eastAsia="pl-PL"/>
        </w:rPr>
      </w:pPr>
    </w:p>
    <w:p w:rsidR="00AA1521" w:rsidRDefault="00AA1521" w:rsidP="00AA1521">
      <w:pPr>
        <w:jc w:val="both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 xml:space="preserve">FUNDUSZ ZASTRZEGA PRAWO DO WERYFIKACJI DODATKOWYCH DOKUMENTÓW ZWIĄZANYCH Z WYBRANĄ FORMĄ ZABEZPIECZENIA W CELU OKREŚLENIE JEGO WARTOŚCI. </w:t>
      </w:r>
    </w:p>
    <w:p w:rsidR="00AE1DB8" w:rsidRPr="00AA1521" w:rsidRDefault="00AA1521" w:rsidP="00AA1521">
      <w:pPr>
        <w:jc w:val="both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PROPOZYCJE ZABEZPIECZENIA NIE WYMIENIONE POWYŻEJ SĄ USTALANE INDYWIDUALNIE</w:t>
      </w:r>
    </w:p>
    <w:sectPr w:rsidR="00AE1DB8" w:rsidRPr="00AA1521" w:rsidSect="002952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2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3F0D" w:rsidRDefault="00333F0D" w:rsidP="00295203">
      <w:pPr>
        <w:spacing w:after="0" w:line="240" w:lineRule="auto"/>
      </w:pPr>
      <w:r>
        <w:separator/>
      </w:r>
    </w:p>
  </w:endnote>
  <w:endnote w:type="continuationSeparator" w:id="0">
    <w:p w:rsidR="00333F0D" w:rsidRDefault="00333F0D" w:rsidP="00295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5DF" w:rsidRDefault="00C305D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5DF" w:rsidRDefault="00C305D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5DF" w:rsidRDefault="00C305D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3F0D" w:rsidRDefault="00333F0D" w:rsidP="00295203">
      <w:pPr>
        <w:spacing w:after="0" w:line="240" w:lineRule="auto"/>
      </w:pPr>
      <w:r>
        <w:separator/>
      </w:r>
    </w:p>
  </w:footnote>
  <w:footnote w:type="continuationSeparator" w:id="0">
    <w:p w:rsidR="00333F0D" w:rsidRDefault="00333F0D" w:rsidP="00295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333F0D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8278" o:spid="_x0000_s205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rw_jeremie2_dolnyslask_pis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5DF" w:rsidRDefault="00C305DF" w:rsidP="00C305DF">
    <w:pPr>
      <w:pStyle w:val="Nagwek"/>
      <w:tabs>
        <w:tab w:val="clear" w:pos="4536"/>
        <w:tab w:val="clear" w:pos="9072"/>
        <w:tab w:val="left" w:pos="2520"/>
      </w:tabs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38105" o:spid="_x0000_s2055" type="#_x0000_t75" style="position:absolute;margin-left:0;margin-top:0;width:595.2pt;height:841.7pt;z-index:-251655168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  <w:r>
      <w:tab/>
    </w:r>
  </w:p>
  <w:p w:rsidR="00295203" w:rsidRPr="00C305DF" w:rsidRDefault="00295203" w:rsidP="00C305DF">
    <w:pPr>
      <w:pStyle w:val="Nagwek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333F0D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8277" o:spid="_x0000_s2052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rw_jeremie2_dolnyslask_pism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03"/>
    <w:rsid w:val="00135A03"/>
    <w:rsid w:val="00295203"/>
    <w:rsid w:val="00301B33"/>
    <w:rsid w:val="00333F0D"/>
    <w:rsid w:val="003D7989"/>
    <w:rsid w:val="00557A2C"/>
    <w:rsid w:val="00687E0D"/>
    <w:rsid w:val="0073718F"/>
    <w:rsid w:val="00825F44"/>
    <w:rsid w:val="008A5BCB"/>
    <w:rsid w:val="00A750E0"/>
    <w:rsid w:val="00AA1521"/>
    <w:rsid w:val="00AE1DB8"/>
    <w:rsid w:val="00C03CC5"/>
    <w:rsid w:val="00C305DF"/>
    <w:rsid w:val="00E4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docId w15:val="{7DEF695E-C027-4B2A-824C-9F9247D9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6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5203"/>
  </w:style>
  <w:style w:type="paragraph" w:styleId="Stopka">
    <w:name w:val="footer"/>
    <w:basedOn w:val="Normalny"/>
    <w:link w:val="StopkaZnak"/>
    <w:uiPriority w:val="99"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2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5459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3</cp:revision>
  <dcterms:created xsi:type="dcterms:W3CDTF">2017-09-26T09:21:00Z</dcterms:created>
  <dcterms:modified xsi:type="dcterms:W3CDTF">2019-07-01T07:09:00Z</dcterms:modified>
</cp:coreProperties>
</file>