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39" w:rsidRDefault="004E5939" w:rsidP="0032089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320895" w:rsidRPr="00320895" w:rsidRDefault="00320895" w:rsidP="0032089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320895">
        <w:rPr>
          <w:rFonts w:ascii="Calibri" w:eastAsia="Times New Roman" w:hAnsi="Calibri" w:cs="Times New Roman"/>
          <w:b/>
          <w:sz w:val="28"/>
          <w:szCs w:val="28"/>
          <w:lang w:eastAsia="pl-PL"/>
        </w:rPr>
        <w:t>Dokumentacja dotycząca wybranej formy zabezpieczenia</w:t>
      </w:r>
    </w:p>
    <w:p w:rsidR="00320895" w:rsidRPr="00320895" w:rsidRDefault="00320895" w:rsidP="00320895">
      <w:pPr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WEKSEL IN BLANCO</w:t>
      </w:r>
    </w:p>
    <w:p w:rsidR="00320895" w:rsidRPr="00320895" w:rsidRDefault="00320895" w:rsidP="003208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71C5C">
        <w:rPr>
          <w:rFonts w:ascii="Calibri" w:eastAsia="Calibri" w:hAnsi="Calibri" w:cs="Times New Roman"/>
          <w:bCs/>
        </w:rPr>
        <w:t xml:space="preserve">- w przypadku pożyczek do kwoty 20 tys. zł, jeżeli MŚP  posiada zdolność do </w:t>
      </w:r>
      <w:r w:rsidRPr="00671C5C">
        <w:rPr>
          <w:rFonts w:ascii="Calibri" w:eastAsia="Calibri" w:hAnsi="Calibri" w:cs="Times New Roman"/>
        </w:rPr>
        <w:t>spłaty pożyczki wraz z odsetkami a jego sytuacja majątkowa jest stabilna.</w:t>
      </w:r>
    </w:p>
    <w:p w:rsidR="00320895" w:rsidRPr="00320895" w:rsidRDefault="00320895" w:rsidP="0032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895" w:rsidRPr="00320895" w:rsidRDefault="00320895" w:rsidP="003208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320895">
        <w:rPr>
          <w:rFonts w:ascii="Calibri" w:eastAsia="Calibri" w:hAnsi="Calibri" w:cs="Times New Roman"/>
          <w:b/>
        </w:rPr>
        <w:t xml:space="preserve">w pozostałych przypadkach </w:t>
      </w:r>
      <w:r w:rsidRPr="00320895">
        <w:rPr>
          <w:rFonts w:ascii="Calibri" w:eastAsia="Calibri" w:hAnsi="Calibri" w:cs="Times New Roman"/>
          <w:b/>
          <w:bCs/>
        </w:rPr>
        <w:t xml:space="preserve">weksel własny niezupełny (in blanco) oraz druga forma prawnego zabezpieczenia spłaty pożyczki. </w:t>
      </w:r>
    </w:p>
    <w:p w:rsidR="00320895" w:rsidRPr="00320895" w:rsidRDefault="00320895" w:rsidP="00320895">
      <w:pPr>
        <w:rPr>
          <w:rFonts w:ascii="Calibri" w:eastAsia="Times New Roman" w:hAnsi="Calibri" w:cs="Times New Roman"/>
          <w:b/>
          <w:u w:val="single"/>
          <w:lang w:eastAsia="pl-PL"/>
        </w:rPr>
      </w:pPr>
    </w:p>
    <w:p w:rsidR="00320895" w:rsidRPr="00320895" w:rsidRDefault="00320895" w:rsidP="003208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20895">
        <w:rPr>
          <w:rFonts w:ascii="Calibri" w:eastAsia="Calibri" w:hAnsi="Calibri" w:cs="Times New Roman"/>
          <w:b/>
        </w:rPr>
        <w:t>Ostateczna forma zabezpieczenia spłaty pożyczki ustalana jest indywidualnie i zależna jest od wyniku oceny ryzyka niespłacenia pożyczki  przez Pożyczkobiorcę i jego stanu majątkowego.</w:t>
      </w:r>
    </w:p>
    <w:p w:rsidR="00320895" w:rsidRPr="00320895" w:rsidRDefault="00320895" w:rsidP="00320895">
      <w:pPr>
        <w:rPr>
          <w:rFonts w:ascii="Calibri" w:eastAsia="Times New Roman" w:hAnsi="Calibri" w:cs="Times New Roman"/>
          <w:b/>
          <w:u w:val="single"/>
          <w:lang w:eastAsia="pl-PL"/>
        </w:rPr>
      </w:pPr>
    </w:p>
    <w:p w:rsidR="00320895" w:rsidRPr="00320895" w:rsidRDefault="00320895" w:rsidP="00320895">
      <w:pPr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PORĘCZENIE WEKSLOWE OSOBY FIZYCZNEJ</w:t>
      </w:r>
    </w:p>
    <w:p w:rsidR="00320895" w:rsidRPr="00320895" w:rsidRDefault="00320895" w:rsidP="00320895">
      <w:pPr>
        <w:tabs>
          <w:tab w:val="left" w:pos="851"/>
        </w:tabs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Uwaga!</w:t>
      </w:r>
      <w:r w:rsidRPr="00320895">
        <w:rPr>
          <w:rFonts w:ascii="Calibri" w:eastAsia="Times New Roman" w:hAnsi="Calibri" w:cs="Times New Roman"/>
          <w:b/>
          <w:lang w:eastAsia="pl-PL"/>
        </w:rPr>
        <w:tab/>
      </w:r>
      <w:r w:rsidRPr="00320895">
        <w:rPr>
          <w:rFonts w:ascii="Calibri" w:eastAsia="Times New Roman" w:hAnsi="Calibri" w:cs="Times New Roman"/>
          <w:lang w:eastAsia="pl-PL"/>
        </w:rPr>
        <w:t xml:space="preserve">W przypadku pozostawania poręczyciela w związku małżeńskim, w którym wspólność  małżeńska nie została ograniczona ani wyłączona, wymagane jest poręczenie obojga </w:t>
      </w:r>
      <w:r w:rsidRPr="00320895">
        <w:rPr>
          <w:rFonts w:ascii="Calibri" w:eastAsia="Times New Roman" w:hAnsi="Calibri" w:cs="Times New Roman"/>
          <w:lang w:eastAsia="pl-PL"/>
        </w:rPr>
        <w:tab/>
        <w:t>małżonków.</w:t>
      </w:r>
    </w:p>
    <w:p w:rsidR="00320895" w:rsidRPr="00320895" w:rsidRDefault="00320895" w:rsidP="00320895">
      <w:pPr>
        <w:tabs>
          <w:tab w:val="left" w:pos="851"/>
        </w:tabs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Nie są akceptowane dochody poręczycieli osiągane poza granicami kraju.  </w:t>
      </w:r>
    </w:p>
    <w:p w:rsidR="00320895" w:rsidRPr="00320895" w:rsidRDefault="00320895" w:rsidP="00320895">
      <w:pPr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( Emeryta)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kwestionariusz Poręczyciela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decyzji o przyznaniu emerytury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wyciąg bankowy potwierdzający wpływ emerytury na rachunek za ostatni miesiąc lub pokwitowanie odbioru w przypadku otrzymywania emerytury w formie gotówkowej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dokumentu tożsamości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(Umowa o pracę)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 xml:space="preserve">- </w:t>
      </w:r>
      <w:r w:rsidRPr="00320895">
        <w:rPr>
          <w:rFonts w:ascii="Calibri" w:eastAsia="Times New Roman" w:hAnsi="Calibri" w:cs="Times New Roman"/>
          <w:lang w:eastAsia="pl-PL"/>
        </w:rPr>
        <w:t>kwestionariusz poręczyciela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zaświadczenie o zatrudnieniu wypełnione przez zakład pracy (nie starsze niż 30 dni)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wyciąg bankowy potwierdzający wpływ wynagrodzenia na rachunek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dokumentu tożsamości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(Działalność gospodarcza, prowadzona co najmniej 2 lata)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 xml:space="preserve">- </w:t>
      </w:r>
      <w:r w:rsidRPr="00320895">
        <w:rPr>
          <w:rFonts w:ascii="Calibri" w:eastAsia="Times New Roman" w:hAnsi="Calibri" w:cs="Times New Roman"/>
          <w:lang w:eastAsia="pl-PL"/>
        </w:rPr>
        <w:t>kwestionariusz poręczyciela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kopie dokumentów rejestrowych prowadzonej działalności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lastRenderedPageBreak/>
        <w:t>- deklaracje podatkowe za dwa ostatnie lata wraz z potwierdzeniem ich złożenia do US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dokumenty finansowe za bieżący rok (sprawozdania finansowe: bilans, rachunek zysków i strat lub zestawienie książki przychodów i rozchodów )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ewidencja środków trwałych wraz z amortyzacją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PORĘCZENIE WEKSLOWE OSOBY PRAWNEJ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dokumenty rejestrowe spółki 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deklaracje podatkowe za dwa ostatnie lata wraz z potwierdzeniem ich złożenia do US oraz sprawozdania finansowe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sprawozdania finansowe za bieżący rok- ostatni ukończony kwartał 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zgoda na weryfikację Poręczyciela w bazach - </w:t>
      </w:r>
      <w:proofErr w:type="spellStart"/>
      <w:r w:rsidRPr="00320895">
        <w:rPr>
          <w:rFonts w:ascii="Calibri" w:eastAsia="Times New Roman" w:hAnsi="Calibri" w:cs="Times New Roman"/>
          <w:lang w:eastAsia="pl-PL"/>
        </w:rPr>
        <w:t>InfoMonitor</w:t>
      </w:r>
      <w:proofErr w:type="spellEnd"/>
      <w:r w:rsidRPr="00320895">
        <w:rPr>
          <w:rFonts w:ascii="Calibri" w:eastAsia="Times New Roman" w:hAnsi="Calibri" w:cs="Times New Roman"/>
          <w:lang w:eastAsia="pl-PL"/>
        </w:rPr>
        <w:t xml:space="preserve"> i KRD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oświadczenie o terminowości spłaty zobowiązań publiczno-prawnych (ZUS,US)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oświadczenie o posiadanych zobowiązań finansowych (ich wysokość , termin spłaty) wraz z informacją o terminowości ich obsługi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dokumentów tożsamości osób uprawionych do zeprezentowania spółki</w:t>
      </w: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20895" w:rsidRPr="00320895" w:rsidRDefault="00320895" w:rsidP="00320895">
      <w:pPr>
        <w:spacing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>HIPOTEKA NA NIERUCHOMOŚCI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Uwaga!</w:t>
      </w:r>
      <w:r w:rsidRPr="00320895">
        <w:rPr>
          <w:rFonts w:ascii="Calibri" w:eastAsia="Times New Roman" w:hAnsi="Calibri" w:cs="Times New Roman"/>
          <w:lang w:eastAsia="pl-PL"/>
        </w:rPr>
        <w:t xml:space="preserve"> Fundusz przyjmuje na zabezpieczenie nieruchomości </w:t>
      </w:r>
      <w:r w:rsidR="008A0F9F">
        <w:rPr>
          <w:rFonts w:ascii="Calibri" w:eastAsia="Times New Roman" w:hAnsi="Calibri" w:cs="Times New Roman"/>
          <w:lang w:eastAsia="pl-PL"/>
        </w:rPr>
        <w:t xml:space="preserve">użytkowe. W drodze wyjątku gdy </w:t>
      </w:r>
      <w:r w:rsidRPr="00320895">
        <w:rPr>
          <w:rFonts w:ascii="Calibri" w:eastAsia="Times New Roman" w:hAnsi="Calibri" w:cs="Times New Roman"/>
          <w:lang w:eastAsia="pl-PL"/>
        </w:rPr>
        <w:t xml:space="preserve">Wnioskodawca posiada dwa lokale mieszkalne, a nieruchomość na zabezpieczenie nie jest </w:t>
      </w:r>
      <w:r w:rsidRPr="00320895">
        <w:rPr>
          <w:rFonts w:ascii="Calibri" w:eastAsia="Times New Roman" w:hAnsi="Calibri" w:cs="Times New Roman"/>
          <w:lang w:eastAsia="pl-PL"/>
        </w:rPr>
        <w:tab/>
        <w:t>przez niego zamieszkiwana Fundusz może ustanowić hipotekę na lokalu mieszkalnym.</w:t>
      </w:r>
      <w:r w:rsidR="002C28A6">
        <w:rPr>
          <w:rFonts w:ascii="Calibri" w:eastAsia="Times New Roman" w:hAnsi="Calibri" w:cs="Times New Roman"/>
          <w:lang w:eastAsia="pl-PL"/>
        </w:rPr>
        <w:t xml:space="preserve"> Ograniczeniom podlegają zabezpieczenia na nieruchomościach stanowiących grunty rolne. </w:t>
      </w:r>
      <w:bookmarkStart w:id="0" w:name="_GoBack"/>
      <w:bookmarkEnd w:id="0"/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>Weryfikacja wartości nieruchomości odbywa się na pods</w:t>
      </w:r>
      <w:r w:rsidR="008A0F9F">
        <w:rPr>
          <w:rFonts w:ascii="Calibri" w:eastAsia="Times New Roman" w:hAnsi="Calibri" w:cs="Times New Roman"/>
          <w:lang w:eastAsia="pl-PL"/>
        </w:rPr>
        <w:t xml:space="preserve">tawie operatu szacunkowego lub </w:t>
      </w:r>
      <w:r w:rsidRPr="00320895">
        <w:rPr>
          <w:rFonts w:ascii="Calibri" w:eastAsia="Times New Roman" w:hAnsi="Calibri" w:cs="Times New Roman"/>
          <w:lang w:eastAsia="pl-PL"/>
        </w:rPr>
        <w:t xml:space="preserve">ustalonej ceny zakupu. W drodze wyjątku gdy wartość nieruchomości na zabezpieczenie jest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możliwa do ustalenia metodą porównawczą poza wszelką wątpliwość, Fundusz może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odstąpić od weryfikacji operatu szacunkowego. </w:t>
      </w:r>
    </w:p>
    <w:p w:rsidR="00320895" w:rsidRPr="00320895" w:rsidRDefault="00320895" w:rsidP="008A0F9F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Ustanowienie hipoteki na nieruchomości odbywa się wyłącznie za pośrednictwem </w:t>
      </w:r>
      <w:r w:rsidR="008A0F9F">
        <w:rPr>
          <w:rFonts w:ascii="Calibri" w:eastAsia="Times New Roman" w:hAnsi="Calibri" w:cs="Times New Roman"/>
          <w:lang w:eastAsia="pl-PL"/>
        </w:rPr>
        <w:t xml:space="preserve">  </w:t>
      </w:r>
      <w:r w:rsidRPr="00320895">
        <w:rPr>
          <w:rFonts w:ascii="Calibri" w:eastAsia="Times New Roman" w:hAnsi="Calibri" w:cs="Times New Roman"/>
          <w:lang w:eastAsia="pl-PL"/>
        </w:rPr>
        <w:t>notarius</w:t>
      </w:r>
      <w:r w:rsidR="008A0F9F">
        <w:rPr>
          <w:rFonts w:ascii="Calibri" w:eastAsia="Times New Roman" w:hAnsi="Calibri" w:cs="Times New Roman"/>
          <w:lang w:eastAsia="pl-PL"/>
        </w:rPr>
        <w:t xml:space="preserve">za, </w:t>
      </w:r>
      <w:r w:rsidR="008A0F9F">
        <w:rPr>
          <w:rFonts w:ascii="Calibri" w:eastAsia="Times New Roman" w:hAnsi="Calibri" w:cs="Times New Roman"/>
          <w:lang w:eastAsia="pl-PL"/>
        </w:rPr>
        <w:tab/>
        <w:t xml:space="preserve">który </w:t>
      </w:r>
      <w:r w:rsidRPr="00320895">
        <w:rPr>
          <w:rFonts w:ascii="Calibri" w:eastAsia="Times New Roman" w:hAnsi="Calibri" w:cs="Times New Roman"/>
          <w:lang w:eastAsia="pl-PL"/>
        </w:rPr>
        <w:t xml:space="preserve">składa wniosek do Wydziału Ksiąg Wieczystych w imieniu Pożyczkobiorcy. 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Środki z pożyczki mogą być uruchomione po ustanowieniu zabezpieczenia, tj. złożenia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wniosku o wpis </w:t>
      </w:r>
      <w:r w:rsidRPr="00320895">
        <w:rPr>
          <w:rFonts w:ascii="Calibri" w:eastAsia="Times New Roman" w:hAnsi="Calibri" w:cs="Times New Roman"/>
          <w:lang w:eastAsia="pl-PL"/>
        </w:rPr>
        <w:tab/>
        <w:t>hipoteki do Księgi Wieczystej. W wyjątkowych przypadkach, gdy sprzedającym nieruchomość jest jednostka samorządu  ter</w:t>
      </w:r>
      <w:r w:rsidR="008A0F9F">
        <w:rPr>
          <w:rFonts w:ascii="Calibri" w:eastAsia="Times New Roman" w:hAnsi="Calibri" w:cs="Times New Roman"/>
          <w:lang w:eastAsia="pl-PL"/>
        </w:rPr>
        <w:t xml:space="preserve">ytorialnego, środki z pożyczki </w:t>
      </w:r>
      <w:r w:rsidRPr="00320895">
        <w:rPr>
          <w:rFonts w:ascii="Calibri" w:eastAsia="Times New Roman" w:hAnsi="Calibri" w:cs="Times New Roman"/>
          <w:lang w:eastAsia="pl-PL"/>
        </w:rPr>
        <w:t xml:space="preserve">mogą być uruchomione przed złożeniem wniosku o wpis hipoteki. 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Dokumenty: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 xml:space="preserve">- odpis z Księgi Wieczystej nieruchomości 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lastRenderedPageBreak/>
        <w:t xml:space="preserve">- wyrys mapy oraz wypis z  ewidencji gruntów i budynków w przypadku nieruchomości gruntowych i budynków wolnostojących 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operat szacunkowy (konieczny gdy wartości nieruchomości nie można ustalić metodą porównawczą ponad wszelką wątpliwość)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przedwstępna umowa sprzedaży lub oświadczenie zbywcy ze wskazaniem ustalonej ceny sprzedaży oraz  terminu i sposobu zapłaty w przypadku gdy zabezpieczeniem ma być kupowana nieruchomość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umowa  nabycia nieruchomości (akt notarialny, darowizna) w przypadku ustanowienia hipoteki na posiadanej nieruchomości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oświadczenie właściciela nieruchomości zawierające zgodę na ustanowienie hipoteki , w przypadku, gdy jest nią inna osoba, niż Wnioskodawca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20895">
        <w:rPr>
          <w:rFonts w:ascii="Calibri" w:eastAsia="Times New Roman" w:hAnsi="Calibri" w:cs="Times New Roman"/>
          <w:b/>
          <w:u w:val="single"/>
          <w:lang w:eastAsia="pl-PL"/>
        </w:rPr>
        <w:t xml:space="preserve">PRZEWŁASZCZENIE ŚRODKÓW TRWAŁYCH 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Uwaga!</w:t>
      </w:r>
      <w:r w:rsidRPr="00320895">
        <w:rPr>
          <w:rFonts w:ascii="Calibri" w:eastAsia="Times New Roman" w:hAnsi="Calibri" w:cs="Times New Roman"/>
          <w:lang w:eastAsia="pl-PL"/>
        </w:rPr>
        <w:t xml:space="preserve"> Weryfikując i akceptując zabezpieczenie w postaci przewłaszczenia środków trwałych </w:t>
      </w:r>
      <w:r w:rsidRPr="00320895">
        <w:rPr>
          <w:rFonts w:ascii="Calibri" w:eastAsia="Times New Roman" w:hAnsi="Calibri" w:cs="Times New Roman"/>
          <w:lang w:eastAsia="pl-PL"/>
        </w:rPr>
        <w:tab/>
        <w:t>Fundusz bierze pod uwagę w szczególności ich obecną wartoś</w:t>
      </w:r>
      <w:r w:rsidR="008A0F9F">
        <w:rPr>
          <w:rFonts w:ascii="Calibri" w:eastAsia="Times New Roman" w:hAnsi="Calibri" w:cs="Times New Roman"/>
          <w:lang w:eastAsia="pl-PL"/>
        </w:rPr>
        <w:t xml:space="preserve">ć, potencjalną utratę wartości </w:t>
      </w:r>
      <w:r w:rsidRPr="00320895">
        <w:rPr>
          <w:rFonts w:ascii="Calibri" w:eastAsia="Times New Roman" w:hAnsi="Calibri" w:cs="Times New Roman"/>
          <w:lang w:eastAsia="pl-PL"/>
        </w:rPr>
        <w:t xml:space="preserve">w czasie oraz płynność (możliwość odsprzedaży). Z zasady nie są akceptowane drobne środki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trwałe w postaci wyposażenia, np.; meble, sprzęt komputerowy czy też wysoce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specjalistyczne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środki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trwałe, dla których nie istnieje rynek wtórny, co ograniczałoby </w:t>
      </w:r>
      <w:r w:rsidRPr="00320895">
        <w:rPr>
          <w:rFonts w:ascii="Calibri" w:eastAsia="Times New Roman" w:hAnsi="Calibri" w:cs="Times New Roman"/>
          <w:lang w:eastAsia="pl-PL"/>
        </w:rPr>
        <w:tab/>
        <w:t>możliwość ich odsprzedaży.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ab/>
        <w:t xml:space="preserve">Weryfikacja wartości zabezpieczenia odbywa się na podstawie wyceny rzeczoznawcy,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ustalonej ceny zakupu, polisy ubezpieczenia lub metodą porównawczą, w przypadku </w:t>
      </w:r>
      <w:r w:rsidRPr="00320895">
        <w:rPr>
          <w:rFonts w:ascii="Calibri" w:eastAsia="Times New Roman" w:hAnsi="Calibri" w:cs="Times New Roman"/>
          <w:lang w:eastAsia="pl-PL"/>
        </w:rPr>
        <w:tab/>
        <w:t xml:space="preserve">możliwości ustalenia wartości ponad wszelką wątpliwość. 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 xml:space="preserve">Dokumentacja: </w:t>
      </w:r>
    </w:p>
    <w:p w:rsidR="00320895" w:rsidRPr="00320895" w:rsidRDefault="00320895" w:rsidP="00320895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oferta kupna/sprzedaży środków trwałych (faktura pro forma/ oferta handlowa) w przypadku przewłaszczenia kupowanych środków trwałych</w:t>
      </w:r>
    </w:p>
    <w:p w:rsidR="00320895" w:rsidRPr="00320895" w:rsidRDefault="00320895" w:rsidP="00320895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dokumenty potwierdzające nabycie środków trwałych (faktury/rachunki) w przypadku przewłaszczenia  już posiadanych środków trwałych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  <w:r w:rsidRPr="00320895">
        <w:rPr>
          <w:rFonts w:ascii="Calibri" w:eastAsia="Times New Roman" w:hAnsi="Calibri" w:cs="Times New Roman"/>
          <w:lang w:eastAsia="pl-PL"/>
        </w:rPr>
        <w:t>- kopia dowodu rejestracyjnego w przypadku przewłaszczenia pojazdu podlegającego rejestracji w Wydziale Komunikacji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lang w:eastAsia="pl-PL"/>
        </w:rPr>
      </w:pP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 xml:space="preserve">FUNDUSZ ZASTRZEGA PRAWO DO WERYFIKACJI DODATKOWYCH DOKUMENTÓW ZWIĄZANYCH Z WYBRANĄ FORMĄ ZABEZPIECZENIA W CELU OKREŚLENIE JEGO WARTOŚCI. </w:t>
      </w:r>
    </w:p>
    <w:p w:rsidR="00320895" w:rsidRPr="00320895" w:rsidRDefault="00320895" w:rsidP="00320895">
      <w:pPr>
        <w:jc w:val="both"/>
        <w:rPr>
          <w:rFonts w:ascii="Calibri" w:eastAsia="Times New Roman" w:hAnsi="Calibri" w:cs="Times New Roman"/>
          <w:b/>
          <w:lang w:eastAsia="pl-PL"/>
        </w:rPr>
      </w:pPr>
      <w:r w:rsidRPr="00320895">
        <w:rPr>
          <w:rFonts w:ascii="Calibri" w:eastAsia="Times New Roman" w:hAnsi="Calibri" w:cs="Times New Roman"/>
          <w:b/>
          <w:lang w:eastAsia="pl-PL"/>
        </w:rPr>
        <w:t>PROPOZYCJE ZABEZPIECZENIA NIE WYMIENIONE POWYŻEJ SĄ USTALANE INDYWIDUALNIE</w:t>
      </w:r>
    </w:p>
    <w:p w:rsidR="00320895" w:rsidRPr="008A0F9F" w:rsidRDefault="008A0F9F" w:rsidP="00320895">
      <w:pPr>
        <w:rPr>
          <w:rFonts w:ascii="Calibri" w:eastAsia="Times New Roman" w:hAnsi="Calibri" w:cs="Times New Roman"/>
          <w:b/>
        </w:rPr>
      </w:pPr>
      <w:r w:rsidRPr="008A0F9F">
        <w:rPr>
          <w:rFonts w:ascii="Calibri" w:eastAsia="Times New Roman" w:hAnsi="Calibri" w:cs="Times New Roman"/>
          <w:b/>
        </w:rPr>
        <w:t>FRW nie akceptuje w ramach projektu transakcji pomiędzy podmiotami powiązanymi !!!</w:t>
      </w:r>
    </w:p>
    <w:p w:rsidR="00604A72" w:rsidRPr="00604A72" w:rsidRDefault="00604A72" w:rsidP="00604A72"/>
    <w:sectPr w:rsidR="00604A72" w:rsidRPr="00604A72" w:rsidSect="004E5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567" w:bottom="1418" w:left="567" w:header="573" w:footer="1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92" w:rsidRDefault="006E0092" w:rsidP="004C1E35">
      <w:pPr>
        <w:spacing w:after="0" w:line="240" w:lineRule="auto"/>
      </w:pPr>
      <w:r>
        <w:separator/>
      </w:r>
    </w:p>
  </w:endnote>
  <w:endnote w:type="continuationSeparator" w:id="0">
    <w:p w:rsidR="006E0092" w:rsidRDefault="006E0092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5C" w:rsidRDefault="00671C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5C" w:rsidRDefault="00671C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5C" w:rsidRDefault="00671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92" w:rsidRDefault="006E0092" w:rsidP="004C1E35">
      <w:pPr>
        <w:spacing w:after="0" w:line="240" w:lineRule="auto"/>
      </w:pPr>
      <w:r>
        <w:separator/>
      </w:r>
    </w:p>
  </w:footnote>
  <w:footnote w:type="continuationSeparator" w:id="0">
    <w:p w:rsidR="006E0092" w:rsidRDefault="006E0092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2C28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1892" o:spid="_x0000_s2083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wielkopolskie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5C" w:rsidRDefault="00671C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2C28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9" o:spid="_x0000_s2084" type="#_x0000_t75" style="position:absolute;margin-left:-16.3pt;margin-top:-101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18460F"/>
    <w:rsid w:val="001D75A6"/>
    <w:rsid w:val="002020E9"/>
    <w:rsid w:val="00220292"/>
    <w:rsid w:val="002C28A6"/>
    <w:rsid w:val="003171EA"/>
    <w:rsid w:val="00320895"/>
    <w:rsid w:val="00415BF7"/>
    <w:rsid w:val="0043320D"/>
    <w:rsid w:val="00441C37"/>
    <w:rsid w:val="00455873"/>
    <w:rsid w:val="004A4DBA"/>
    <w:rsid w:val="004C1E35"/>
    <w:rsid w:val="004D5C57"/>
    <w:rsid w:val="004E5939"/>
    <w:rsid w:val="005264A9"/>
    <w:rsid w:val="0056734E"/>
    <w:rsid w:val="005829A9"/>
    <w:rsid w:val="00604A72"/>
    <w:rsid w:val="00610743"/>
    <w:rsid w:val="00623B46"/>
    <w:rsid w:val="006321D0"/>
    <w:rsid w:val="00671C5C"/>
    <w:rsid w:val="006951C0"/>
    <w:rsid w:val="006E0092"/>
    <w:rsid w:val="00732697"/>
    <w:rsid w:val="00862C83"/>
    <w:rsid w:val="008A0F9F"/>
    <w:rsid w:val="0091199E"/>
    <w:rsid w:val="00944A83"/>
    <w:rsid w:val="00950F36"/>
    <w:rsid w:val="00971CB6"/>
    <w:rsid w:val="00A475AA"/>
    <w:rsid w:val="00A93EF6"/>
    <w:rsid w:val="00AE2C26"/>
    <w:rsid w:val="00B019F2"/>
    <w:rsid w:val="00B049B1"/>
    <w:rsid w:val="00B6098A"/>
    <w:rsid w:val="00B9644D"/>
    <w:rsid w:val="00C944B7"/>
    <w:rsid w:val="00D44842"/>
    <w:rsid w:val="00DA5FD5"/>
    <w:rsid w:val="00E060E5"/>
    <w:rsid w:val="00E55233"/>
    <w:rsid w:val="00EC47D5"/>
    <w:rsid w:val="00F143A1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811A3-776D-4123-9A3A-954E740A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RDO</cp:lastModifiedBy>
  <cp:revision>7</cp:revision>
  <cp:lastPrinted>2016-04-01T10:14:00Z</cp:lastPrinted>
  <dcterms:created xsi:type="dcterms:W3CDTF">2017-01-20T12:51:00Z</dcterms:created>
  <dcterms:modified xsi:type="dcterms:W3CDTF">2017-02-02T16:11:00Z</dcterms:modified>
</cp:coreProperties>
</file>