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95" w:rsidRPr="00320895" w:rsidRDefault="00320895" w:rsidP="0032089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320895">
        <w:rPr>
          <w:rFonts w:ascii="Calibri" w:eastAsia="Times New Roman" w:hAnsi="Calibri" w:cs="Times New Roman"/>
          <w:b/>
          <w:sz w:val="28"/>
          <w:szCs w:val="28"/>
          <w:lang w:eastAsia="pl-PL"/>
        </w:rPr>
        <w:t>Dokumentacja dotycząca wybranej formy zabezpieczenia</w:t>
      </w:r>
    </w:p>
    <w:p w:rsidR="00320895" w:rsidRPr="00320895" w:rsidRDefault="00320895" w:rsidP="00320895">
      <w:pPr>
        <w:rPr>
          <w:rFonts w:ascii="Calibri" w:eastAsia="Times New Roman" w:hAnsi="Calibri" w:cs="Times New Roman"/>
          <w:b/>
          <w:u w:val="single"/>
          <w:lang w:eastAsia="pl-PL"/>
        </w:rPr>
      </w:pPr>
      <w:r w:rsidRPr="00320895">
        <w:rPr>
          <w:rFonts w:ascii="Calibri" w:eastAsia="Times New Roman" w:hAnsi="Calibri" w:cs="Times New Roman"/>
          <w:b/>
          <w:u w:val="single"/>
          <w:lang w:eastAsia="pl-PL"/>
        </w:rPr>
        <w:t>WEKSEL IN BLANCO</w:t>
      </w:r>
    </w:p>
    <w:p w:rsidR="00320895" w:rsidRPr="00320895" w:rsidRDefault="00320895" w:rsidP="003208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320895">
        <w:rPr>
          <w:rFonts w:ascii="Calibri" w:eastAsia="Calibri" w:hAnsi="Calibri" w:cs="Times New Roman"/>
          <w:bCs/>
        </w:rPr>
        <w:t xml:space="preserve">- w przypadku pożyczek do kwoty 20 tys. zł, jeżeli MŚP  posiada zdolność do </w:t>
      </w:r>
      <w:r w:rsidRPr="00320895">
        <w:rPr>
          <w:rFonts w:ascii="Calibri" w:eastAsia="Calibri" w:hAnsi="Calibri" w:cs="Times New Roman"/>
        </w:rPr>
        <w:t>spłaty pożyczki wraz z odsetkami a jego sytuacja majątkowa jest stabilna.</w:t>
      </w:r>
    </w:p>
    <w:p w:rsidR="00320895" w:rsidRPr="00320895" w:rsidRDefault="00320895" w:rsidP="0032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895" w:rsidRPr="00320895" w:rsidRDefault="00320895" w:rsidP="003208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320895">
        <w:rPr>
          <w:rFonts w:ascii="Calibri" w:eastAsia="Calibri" w:hAnsi="Calibri" w:cs="Times New Roman"/>
          <w:b/>
        </w:rPr>
        <w:t xml:space="preserve">w pozostałych przypadkach </w:t>
      </w:r>
      <w:r w:rsidRPr="00320895">
        <w:rPr>
          <w:rFonts w:ascii="Calibri" w:eastAsia="Calibri" w:hAnsi="Calibri" w:cs="Times New Roman"/>
          <w:b/>
          <w:bCs/>
        </w:rPr>
        <w:t xml:space="preserve">weksel własny niezupełny (in blanco) oraz druga forma prawnego zabezpieczenia spłaty pożyczki. </w:t>
      </w:r>
    </w:p>
    <w:p w:rsidR="00320895" w:rsidRPr="00320895" w:rsidRDefault="00320895" w:rsidP="00320895">
      <w:pPr>
        <w:rPr>
          <w:rFonts w:ascii="Calibri" w:eastAsia="Times New Roman" w:hAnsi="Calibri" w:cs="Times New Roman"/>
          <w:b/>
          <w:u w:val="single"/>
          <w:lang w:eastAsia="pl-PL"/>
        </w:rPr>
      </w:pPr>
    </w:p>
    <w:p w:rsidR="00320895" w:rsidRPr="00320895" w:rsidRDefault="00320895" w:rsidP="003208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20895">
        <w:rPr>
          <w:rFonts w:ascii="Calibri" w:eastAsia="Calibri" w:hAnsi="Calibri" w:cs="Times New Roman"/>
          <w:b/>
        </w:rPr>
        <w:t>Ostateczna forma zabezpieczenia spłaty pożyczki ustalana jest indywidualnie i zależna jest od wyniku oceny ryzyka niespłacenia pożyczki  przez Pożyczkobiorcę i jego stanu majątkowego.</w:t>
      </w:r>
    </w:p>
    <w:p w:rsidR="00320895" w:rsidRPr="00320895" w:rsidRDefault="00320895" w:rsidP="00320895">
      <w:pPr>
        <w:rPr>
          <w:rFonts w:ascii="Calibri" w:eastAsia="Times New Roman" w:hAnsi="Calibri" w:cs="Times New Roman"/>
          <w:b/>
          <w:u w:val="single"/>
          <w:lang w:eastAsia="pl-PL"/>
        </w:rPr>
      </w:pPr>
    </w:p>
    <w:p w:rsidR="00320895" w:rsidRPr="00320895" w:rsidRDefault="00320895" w:rsidP="00320895">
      <w:pPr>
        <w:rPr>
          <w:rFonts w:ascii="Calibri" w:eastAsia="Times New Roman" w:hAnsi="Calibri" w:cs="Times New Roman"/>
          <w:b/>
          <w:u w:val="single"/>
          <w:lang w:eastAsia="pl-PL"/>
        </w:rPr>
      </w:pPr>
      <w:r w:rsidRPr="00320895">
        <w:rPr>
          <w:rFonts w:ascii="Calibri" w:eastAsia="Times New Roman" w:hAnsi="Calibri" w:cs="Times New Roman"/>
          <w:b/>
          <w:u w:val="single"/>
          <w:lang w:eastAsia="pl-PL"/>
        </w:rPr>
        <w:t>PORĘCZENIE WEKSLOWE OSOBY FIZYCZNEJ</w:t>
      </w:r>
    </w:p>
    <w:p w:rsidR="00320895" w:rsidRPr="00320895" w:rsidRDefault="00320895" w:rsidP="00320895">
      <w:pPr>
        <w:tabs>
          <w:tab w:val="left" w:pos="851"/>
        </w:tabs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Uwaga!</w:t>
      </w:r>
      <w:r w:rsidRPr="00320895">
        <w:rPr>
          <w:rFonts w:ascii="Calibri" w:eastAsia="Times New Roman" w:hAnsi="Calibri" w:cs="Times New Roman"/>
          <w:b/>
          <w:lang w:eastAsia="pl-PL"/>
        </w:rPr>
        <w:tab/>
      </w:r>
      <w:r w:rsidRPr="00320895">
        <w:rPr>
          <w:rFonts w:ascii="Calibri" w:eastAsia="Times New Roman" w:hAnsi="Calibri" w:cs="Times New Roman"/>
          <w:lang w:eastAsia="pl-PL"/>
        </w:rPr>
        <w:t xml:space="preserve">W przypadku pozostawania poręczyciela w związku małżeńskim, w którym wspólność  małżeńska nie została ograniczona ani wyłączona, wymagane jest poręczenie obojga </w:t>
      </w:r>
      <w:r w:rsidRPr="00320895">
        <w:rPr>
          <w:rFonts w:ascii="Calibri" w:eastAsia="Times New Roman" w:hAnsi="Calibri" w:cs="Times New Roman"/>
          <w:lang w:eastAsia="pl-PL"/>
        </w:rPr>
        <w:tab/>
        <w:t>małżonków.</w:t>
      </w:r>
    </w:p>
    <w:p w:rsidR="00320895" w:rsidRPr="00320895" w:rsidRDefault="00320895" w:rsidP="00320895">
      <w:pPr>
        <w:tabs>
          <w:tab w:val="left" w:pos="851"/>
        </w:tabs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ab/>
        <w:t xml:space="preserve">Nie są akceptowane dochody poręczycieli osiągane poza granicami kraju.  </w:t>
      </w:r>
    </w:p>
    <w:p w:rsidR="00320895" w:rsidRPr="00320895" w:rsidRDefault="00320895" w:rsidP="00320895">
      <w:pPr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( Emeryta)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kwestionariusz Poręczyciela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kopia decyzji o przyznaniu emerytury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wyciąg bankowy potwierdzający wpływ emerytury na rachunek za ostatni miesiąc lub pokwitowanie odbioru w przypadku otrzymywania emerytury w formie gotówkowej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kopia dokumentu tożsamości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(Umowa o pracę)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 xml:space="preserve">- </w:t>
      </w:r>
      <w:r w:rsidRPr="00320895">
        <w:rPr>
          <w:rFonts w:ascii="Calibri" w:eastAsia="Times New Roman" w:hAnsi="Calibri" w:cs="Times New Roman"/>
          <w:lang w:eastAsia="pl-PL"/>
        </w:rPr>
        <w:t>kwestionariusz poręczyciela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zaświadczenie o zatrudnieniu wypełnione przez zakład pracy (nie starsze niż 30 dni)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wyciąg bankowy potwierdzający wpływ wynagrodzenia na rachunek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kopia dokumentu tożsamości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(Działalność gospodarcza, prowadzona co najmniej 2 lata)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 xml:space="preserve">- </w:t>
      </w:r>
      <w:r w:rsidRPr="00320895">
        <w:rPr>
          <w:rFonts w:ascii="Calibri" w:eastAsia="Times New Roman" w:hAnsi="Calibri" w:cs="Times New Roman"/>
          <w:lang w:eastAsia="pl-PL"/>
        </w:rPr>
        <w:t>kwestionariusz poręczyciela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kopie dokumentów rejestrowych prowadzonej działalności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deklaracje podatkowe za dwa ostatnie lata wraz z potwierdzeniem ich złożenia do US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lastRenderedPageBreak/>
        <w:t>- dokumenty finansowe za bieżący rok (sprawozdania finansowe: bilans, rachunek zysków i strat lub zestawienie książki przychodów i rozchodów )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ewidencja środków trwałych wraz z amortyzacją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b/>
          <w:u w:val="single"/>
          <w:lang w:eastAsia="pl-PL"/>
        </w:rPr>
      </w:pPr>
      <w:bookmarkStart w:id="0" w:name="_GoBack"/>
      <w:bookmarkEnd w:id="0"/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b/>
          <w:u w:val="single"/>
          <w:lang w:eastAsia="pl-PL"/>
        </w:rPr>
      </w:pPr>
      <w:r w:rsidRPr="00320895">
        <w:rPr>
          <w:rFonts w:ascii="Calibri" w:eastAsia="Times New Roman" w:hAnsi="Calibri" w:cs="Times New Roman"/>
          <w:b/>
          <w:u w:val="single"/>
          <w:lang w:eastAsia="pl-PL"/>
        </w:rPr>
        <w:t>PORĘCZENIE WEKSLOWE OSOBY PRAWNEJ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 xml:space="preserve">- dokumenty rejestrowe spółki 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deklaracje podatkowe za dwa ostatnie lata wraz z potwierdzeniem ich złożenia do US oraz sprawozdania finansowe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 xml:space="preserve">- sprawozdania finansowe za bieżący rok- ostatni ukończony kwartał 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 xml:space="preserve">- zgoda na weryfikację Poręczyciela w bazach - </w:t>
      </w:r>
      <w:proofErr w:type="spellStart"/>
      <w:r w:rsidRPr="00320895">
        <w:rPr>
          <w:rFonts w:ascii="Calibri" w:eastAsia="Times New Roman" w:hAnsi="Calibri" w:cs="Times New Roman"/>
          <w:lang w:eastAsia="pl-PL"/>
        </w:rPr>
        <w:t>InfoMonitor</w:t>
      </w:r>
      <w:proofErr w:type="spellEnd"/>
      <w:r w:rsidRPr="00320895">
        <w:rPr>
          <w:rFonts w:ascii="Calibri" w:eastAsia="Times New Roman" w:hAnsi="Calibri" w:cs="Times New Roman"/>
          <w:lang w:eastAsia="pl-PL"/>
        </w:rPr>
        <w:t xml:space="preserve"> i KRD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oświadczenie o terminowości spłaty zobowiązań publiczno-prawnych (ZUS,US)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oświadczenie o posiadanych zobowiązań finansowych (ich wysokość , termin spłaty) wraz z informacją o terminowości ich obsługi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kopia dokumentów tożsamości osób uprawionych do zeprezentowania spółki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b/>
          <w:lang w:eastAsia="pl-PL"/>
        </w:rPr>
      </w:pP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b/>
          <w:u w:val="single"/>
          <w:lang w:eastAsia="pl-PL"/>
        </w:rPr>
      </w:pPr>
      <w:r w:rsidRPr="00320895">
        <w:rPr>
          <w:rFonts w:ascii="Calibri" w:eastAsia="Times New Roman" w:hAnsi="Calibri" w:cs="Times New Roman"/>
          <w:b/>
          <w:u w:val="single"/>
          <w:lang w:eastAsia="pl-PL"/>
        </w:rPr>
        <w:t>HIPOTEKA NA NIERUCHOMOŚCI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Uwaga!</w:t>
      </w:r>
      <w:r w:rsidRPr="00320895">
        <w:rPr>
          <w:rFonts w:ascii="Calibri" w:eastAsia="Times New Roman" w:hAnsi="Calibri" w:cs="Times New Roman"/>
          <w:lang w:eastAsia="pl-PL"/>
        </w:rPr>
        <w:t xml:space="preserve"> Fundusz przyjmuje na zabezpieczenie nieruchomości użytkowe. W drodze wyjątku gdy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Wnioskodawca posiada dwa lokale mieszkalne, a nieruchomość na zabezpieczenie nie jest </w:t>
      </w:r>
      <w:r w:rsidRPr="00320895">
        <w:rPr>
          <w:rFonts w:ascii="Calibri" w:eastAsia="Times New Roman" w:hAnsi="Calibri" w:cs="Times New Roman"/>
          <w:lang w:eastAsia="pl-PL"/>
        </w:rPr>
        <w:tab/>
        <w:t>przez niego zamieszkiwana Fundusz może ustanowić hipotekę na lokalu mieszkalnym.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ab/>
        <w:t xml:space="preserve">Weryfikacja wartości nieruchomości odbywa się na podstawie operatu szacunkowego lub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ustalonej ceny zakupu. W drodze wyjątku gdy wartość nieruchomości na zabezpieczenie jest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możliwa do ustalenia metodą porównawczą poza wszelką wątpliwość, Fundusz może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odstąpić od weryfikacji operatu szacunkowego. 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ab/>
        <w:t xml:space="preserve">Ustanowienie hipoteki na nieruchomości odbywa się wyłącznie za pośrednictwem notariusza,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który składa wniosek do Wydziału Ksiąg Wieczystych w imieniu Pożyczkobiorcy. 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ab/>
        <w:t xml:space="preserve">Środki z pożyczki mogą być uruchomione po ustanowieniu zabezpieczenia, tj. złożenia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wniosku o wpis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hipoteki do Księgi Wieczystej. W wyjątkowych przypadkach, gdy sprzedającym nieruchomość jest jednostka samorządu  terytorialnego, środki z pożyczki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mogą być uruchomione przed złożeniem wniosku o wpis hipoteki. 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Dokumenty: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 xml:space="preserve">- odpis z Księgi Wieczystej nieruchomości 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 xml:space="preserve">- </w:t>
      </w:r>
      <w:proofErr w:type="spellStart"/>
      <w:r w:rsidRPr="00320895">
        <w:rPr>
          <w:rFonts w:ascii="Calibri" w:eastAsia="Times New Roman" w:hAnsi="Calibri" w:cs="Times New Roman"/>
          <w:lang w:eastAsia="pl-PL"/>
        </w:rPr>
        <w:t>wyrys</w:t>
      </w:r>
      <w:proofErr w:type="spellEnd"/>
      <w:r w:rsidRPr="00320895">
        <w:rPr>
          <w:rFonts w:ascii="Calibri" w:eastAsia="Times New Roman" w:hAnsi="Calibri" w:cs="Times New Roman"/>
          <w:lang w:eastAsia="pl-PL"/>
        </w:rPr>
        <w:t xml:space="preserve"> mapy oraz wypis z  ewidencji gruntów i budynków w przypadku nieruchomości gruntowych i budynków wolnostojących 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lastRenderedPageBreak/>
        <w:t>- operat szacunkowy (konieczny gdy wartości nieruchomości nie można ustalić metodą porównawczą ponad wszelką wątpliwość)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przedwstępna umowa sprzedaży lub oświadczenie zbywcy ze wskazaniem ustalonej ceny sprzedaży oraz  terminu i sposobu zapłaty w przypadku gdy zabezpieczeniem ma być kupowana nieruchomość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umowa  nabycia nieruchomości (akt notarialny, darowizna) w przypadku ustanowienia hipoteki na posiadanej nieruchomości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oświadczenie właściciela nieruchomości zawierające zgodę na ustanowienie hipoteki , w przypadku, gdy jest nią inna osoba, niż Wnioskodawca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320895">
        <w:rPr>
          <w:rFonts w:ascii="Calibri" w:eastAsia="Times New Roman" w:hAnsi="Calibri" w:cs="Times New Roman"/>
          <w:b/>
          <w:u w:val="single"/>
          <w:lang w:eastAsia="pl-PL"/>
        </w:rPr>
        <w:t xml:space="preserve">PRZEWŁASZCZENIE ŚRODKÓW TRWAŁYCH 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Uwaga!</w:t>
      </w:r>
      <w:r w:rsidRPr="00320895">
        <w:rPr>
          <w:rFonts w:ascii="Calibri" w:eastAsia="Times New Roman" w:hAnsi="Calibri" w:cs="Times New Roman"/>
          <w:lang w:eastAsia="pl-PL"/>
        </w:rPr>
        <w:t xml:space="preserve"> Weryfikując i akceptując zabezpieczenie w postaci przewłaszczenia środków trwałych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Fundusz bierze pod uwagę w szczególności ich obecną wartość, potencjalną utratę wartości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w czasie oraz płynność (możliwość odsprzedaży). Z zasady nie są akceptowane drobne środki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trwałe w postaci wyposażenia, np.; meble, sprzęt komputerowy czy też wysoce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specjalistyczne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środki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trwałe, dla których nie istnieje rynek wtórny, co ograniczałoby </w:t>
      </w:r>
      <w:r w:rsidRPr="00320895">
        <w:rPr>
          <w:rFonts w:ascii="Calibri" w:eastAsia="Times New Roman" w:hAnsi="Calibri" w:cs="Times New Roman"/>
          <w:lang w:eastAsia="pl-PL"/>
        </w:rPr>
        <w:tab/>
        <w:t>możliwość ich odsprzedaży.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ab/>
        <w:t xml:space="preserve">Weryfikacja wartości zabezpieczenia odbywa się na podstawie wyceny rzeczoznawcy,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ustalonej ceny zakupu, polisy ubezpieczenia lub metodą porównawczą, w przypadku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możliwości ustalenia wartości ponad wszelką wątpliwość. 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 xml:space="preserve">Dokumentacja: </w:t>
      </w:r>
    </w:p>
    <w:p w:rsidR="00320895" w:rsidRPr="00320895" w:rsidRDefault="00320895" w:rsidP="00320895">
      <w:pPr>
        <w:spacing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oferta kupna/sprzedaży środków trwałych (faktura pro forma/ oferta handlowa) w przypadku przewłaszczenia kupowanych środków trwałych</w:t>
      </w:r>
    </w:p>
    <w:p w:rsidR="00320895" w:rsidRPr="00320895" w:rsidRDefault="00320895" w:rsidP="00320895">
      <w:pPr>
        <w:spacing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dokumenty potwierdzające nabycie środków trwałych (faktury/rachunki) w przypadku przewłaszczenia  już posiadanych środków trwałych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kopia dowodu rejestracyjnego w przypadku przewłaszczenia pojazdu podlegającego rejestracji w Wydziale Komunikacji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 xml:space="preserve">FUNDUSZ ZASTRZEGA PRAWO DO WERYFIKACJI DODATKOWYCH DOKUMENTÓW ZWIĄZANYCH Z WYBRANĄ FORMĄ ZABEZPIECZENIA W CELU OKREŚLENIE JEGO WARTOŚCI. 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PROPOZYCJE ZABEZPIECZENIA NIE WYMIENIONE POWYŻEJ SĄ USTALANE INDYWIDUALNIE</w:t>
      </w:r>
    </w:p>
    <w:p w:rsidR="00320895" w:rsidRPr="00320895" w:rsidRDefault="00320895" w:rsidP="00320895">
      <w:pPr>
        <w:rPr>
          <w:rFonts w:ascii="Calibri" w:eastAsia="Times New Roman" w:hAnsi="Calibri" w:cs="Times New Roman"/>
        </w:rPr>
      </w:pPr>
    </w:p>
    <w:p w:rsidR="00604A72" w:rsidRPr="00604A72" w:rsidRDefault="00604A72" w:rsidP="00604A72"/>
    <w:sectPr w:rsidR="00604A72" w:rsidRPr="00604A72" w:rsidSect="00604A72">
      <w:headerReference w:type="even" r:id="rId7"/>
      <w:headerReference w:type="default" r:id="rId8"/>
      <w:headerReference w:type="first" r:id="rId9"/>
      <w:pgSz w:w="11906" w:h="16838"/>
      <w:pgMar w:top="2269" w:right="567" w:bottom="1418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92" w:rsidRDefault="006E0092" w:rsidP="004C1E35">
      <w:pPr>
        <w:spacing w:after="0" w:line="240" w:lineRule="auto"/>
      </w:pPr>
      <w:r>
        <w:separator/>
      </w:r>
    </w:p>
  </w:endnote>
  <w:endnote w:type="continuationSeparator" w:id="0">
    <w:p w:rsidR="006E0092" w:rsidRDefault="006E0092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92" w:rsidRDefault="006E0092" w:rsidP="004C1E35">
      <w:pPr>
        <w:spacing w:after="0" w:line="240" w:lineRule="auto"/>
      </w:pPr>
      <w:r>
        <w:separator/>
      </w:r>
    </w:p>
  </w:footnote>
  <w:footnote w:type="continuationSeparator" w:id="0">
    <w:p w:rsidR="006E0092" w:rsidRDefault="006E0092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3208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1892" o:spid="_x0000_s2083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wielkopolskie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D" w:rsidRDefault="003208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1893" o:spid="_x0000_s2084" type="#_x0000_t75" style="position:absolute;margin-left:-28.3pt;margin-top:-113.95pt;width:595.2pt;height:841.7pt;z-index:-251652096;mso-position-horizontal-relative:margin;mso-position-vertical-relative:margin" o:allowincell="f">
          <v:imagedata r:id="rId1" o:title="FRW_papierfirmowy_wielkopolsk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3208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1891" o:spid="_x0000_s2082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wielkopolskie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35"/>
    <w:rsid w:val="0018460F"/>
    <w:rsid w:val="001D75A6"/>
    <w:rsid w:val="002020E9"/>
    <w:rsid w:val="00220292"/>
    <w:rsid w:val="003171EA"/>
    <w:rsid w:val="00320895"/>
    <w:rsid w:val="00415BF7"/>
    <w:rsid w:val="0043320D"/>
    <w:rsid w:val="00441C37"/>
    <w:rsid w:val="00455873"/>
    <w:rsid w:val="004A4DBA"/>
    <w:rsid w:val="004C1E35"/>
    <w:rsid w:val="004D5C57"/>
    <w:rsid w:val="005264A9"/>
    <w:rsid w:val="0056734E"/>
    <w:rsid w:val="005829A9"/>
    <w:rsid w:val="00604A72"/>
    <w:rsid w:val="00610743"/>
    <w:rsid w:val="006321D0"/>
    <w:rsid w:val="006951C0"/>
    <w:rsid w:val="006E0092"/>
    <w:rsid w:val="00732697"/>
    <w:rsid w:val="00862C83"/>
    <w:rsid w:val="0091199E"/>
    <w:rsid w:val="00944A83"/>
    <w:rsid w:val="00950F36"/>
    <w:rsid w:val="00971CB6"/>
    <w:rsid w:val="00A475AA"/>
    <w:rsid w:val="00A93EF6"/>
    <w:rsid w:val="00AE2C26"/>
    <w:rsid w:val="00B019F2"/>
    <w:rsid w:val="00B049B1"/>
    <w:rsid w:val="00B6098A"/>
    <w:rsid w:val="00B9644D"/>
    <w:rsid w:val="00C944B7"/>
    <w:rsid w:val="00D44842"/>
    <w:rsid w:val="00DA5FD5"/>
    <w:rsid w:val="00E55233"/>
    <w:rsid w:val="00EC47D5"/>
    <w:rsid w:val="00FB1B2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5:docId w15:val="{8B47DDFB-C005-4DC3-9F59-AC407B2D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094A9-8248-49B3-B4CE-F432F111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ATR</cp:lastModifiedBy>
  <cp:revision>3</cp:revision>
  <cp:lastPrinted>2016-04-01T10:14:00Z</cp:lastPrinted>
  <dcterms:created xsi:type="dcterms:W3CDTF">2016-07-05T08:51:00Z</dcterms:created>
  <dcterms:modified xsi:type="dcterms:W3CDTF">2016-07-05T09:05:00Z</dcterms:modified>
</cp:coreProperties>
</file>