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A8" w:rsidRPr="006E15A8" w:rsidRDefault="006E15A8" w:rsidP="006E15A8">
      <w:pPr>
        <w:spacing w:after="0" w:line="240" w:lineRule="auto"/>
        <w:ind w:left="397" w:right="397"/>
        <w:jc w:val="center"/>
        <w:rPr>
          <w:rFonts w:ascii="Times New Roman" w:hAnsi="Times New Roman"/>
          <w:b/>
          <w:sz w:val="32"/>
          <w:szCs w:val="32"/>
          <w:u w:val="single"/>
          <w:lang w:eastAsia="pl-PL"/>
        </w:rPr>
      </w:pPr>
      <w:r w:rsidRPr="006E15A8">
        <w:rPr>
          <w:rFonts w:ascii="Times New Roman" w:hAnsi="Times New Roman"/>
          <w:b/>
          <w:sz w:val="32"/>
          <w:szCs w:val="32"/>
          <w:u w:val="single"/>
          <w:lang w:eastAsia="pl-PL"/>
        </w:rPr>
        <w:t>Dokumentacja dotycząca wybranej formy zabezpieczenia</w:t>
      </w:r>
    </w:p>
    <w:p w:rsidR="006E15A8" w:rsidRPr="006E15A8" w:rsidRDefault="006E15A8" w:rsidP="006E15A8">
      <w:pPr>
        <w:spacing w:after="0" w:line="240" w:lineRule="auto"/>
        <w:ind w:left="397" w:right="397"/>
        <w:jc w:val="center"/>
        <w:rPr>
          <w:rFonts w:ascii="Times New Roman" w:hAnsi="Times New Roman"/>
          <w:b/>
          <w:sz w:val="32"/>
          <w:szCs w:val="32"/>
          <w:u w:val="single"/>
          <w:lang w:eastAsia="pl-PL"/>
        </w:rPr>
      </w:pPr>
    </w:p>
    <w:p w:rsidR="006E15A8" w:rsidRPr="006B73F8" w:rsidRDefault="006E15A8" w:rsidP="006E15A8">
      <w:pPr>
        <w:spacing w:after="0" w:line="240" w:lineRule="auto"/>
        <w:ind w:left="397" w:right="397"/>
        <w:rPr>
          <w:rFonts w:ascii="Times New Roman" w:hAnsi="Times New Roman"/>
          <w:b/>
          <w:u w:val="single"/>
          <w:lang w:eastAsia="pl-PL"/>
        </w:rPr>
      </w:pPr>
    </w:p>
    <w:p w:rsidR="006E15A8" w:rsidRPr="006B73F8" w:rsidRDefault="006E15A8" w:rsidP="006E15A8">
      <w:pPr>
        <w:spacing w:after="0" w:line="240" w:lineRule="auto"/>
        <w:ind w:left="397" w:right="397"/>
        <w:rPr>
          <w:rFonts w:ascii="Times New Roman" w:hAnsi="Times New Roman"/>
          <w:b/>
          <w:sz w:val="28"/>
          <w:szCs w:val="28"/>
          <w:u w:val="single"/>
          <w:lang w:eastAsia="pl-PL"/>
        </w:rPr>
      </w:pPr>
      <w:r w:rsidRPr="006B73F8">
        <w:rPr>
          <w:rFonts w:ascii="Times New Roman" w:hAnsi="Times New Roman"/>
          <w:b/>
          <w:sz w:val="28"/>
          <w:szCs w:val="28"/>
          <w:u w:val="single"/>
          <w:lang w:eastAsia="pl-PL"/>
        </w:rPr>
        <w:t>PORĘCZENIE WEKSLOWE OSOBY FIZYCZNEJ</w:t>
      </w:r>
    </w:p>
    <w:p w:rsidR="006E15A8" w:rsidRDefault="006E15A8" w:rsidP="006E15A8">
      <w:pPr>
        <w:tabs>
          <w:tab w:val="left" w:pos="851"/>
        </w:tabs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b/>
          <w:lang w:eastAsia="pl-PL"/>
        </w:rPr>
        <w:t>Uwaga!</w:t>
      </w:r>
      <w:r w:rsidRPr="006B73F8">
        <w:rPr>
          <w:rFonts w:ascii="Times New Roman" w:hAnsi="Times New Roman"/>
          <w:b/>
          <w:lang w:eastAsia="pl-PL"/>
        </w:rPr>
        <w:tab/>
      </w:r>
      <w:r w:rsidRPr="006B73F8">
        <w:rPr>
          <w:rFonts w:ascii="Times New Roman" w:hAnsi="Times New Roman"/>
          <w:lang w:eastAsia="pl-PL"/>
        </w:rPr>
        <w:t xml:space="preserve">W przypadku pozostawania poręczyciela w związku </w:t>
      </w:r>
      <w:r>
        <w:rPr>
          <w:rFonts w:ascii="Times New Roman" w:hAnsi="Times New Roman"/>
          <w:lang w:eastAsia="pl-PL"/>
        </w:rPr>
        <w:t xml:space="preserve">małżeńskim, w którym wspólność </w:t>
      </w:r>
      <w:r w:rsidRPr="006B73F8">
        <w:rPr>
          <w:rFonts w:ascii="Times New Roman" w:hAnsi="Times New Roman"/>
          <w:lang w:eastAsia="pl-PL"/>
        </w:rPr>
        <w:t xml:space="preserve">małżeńska </w:t>
      </w:r>
      <w:r>
        <w:rPr>
          <w:rFonts w:ascii="Times New Roman" w:hAnsi="Times New Roman"/>
          <w:lang w:eastAsia="pl-PL"/>
        </w:rPr>
        <w:t xml:space="preserve">                     </w:t>
      </w:r>
      <w:r w:rsidRPr="006B73F8">
        <w:rPr>
          <w:rFonts w:ascii="Times New Roman" w:hAnsi="Times New Roman"/>
          <w:lang w:eastAsia="pl-PL"/>
        </w:rPr>
        <w:t>nie została ograniczona ani wyłączona, w</w:t>
      </w:r>
      <w:r>
        <w:rPr>
          <w:rFonts w:ascii="Times New Roman" w:hAnsi="Times New Roman"/>
          <w:lang w:eastAsia="pl-PL"/>
        </w:rPr>
        <w:t xml:space="preserve">ymagane jest poręczenie obojga </w:t>
      </w:r>
      <w:r w:rsidRPr="006B73F8">
        <w:rPr>
          <w:rFonts w:ascii="Times New Roman" w:hAnsi="Times New Roman"/>
          <w:lang w:eastAsia="pl-PL"/>
        </w:rPr>
        <w:t>małżonków.</w:t>
      </w:r>
    </w:p>
    <w:p w:rsidR="006E15A8" w:rsidRDefault="006E15A8" w:rsidP="006E15A8">
      <w:pPr>
        <w:tabs>
          <w:tab w:val="left" w:pos="851"/>
        </w:tabs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 xml:space="preserve">Nie są akceptowane dochody poręczycieli osiągane poza granicami kraju.  </w:t>
      </w:r>
    </w:p>
    <w:p w:rsidR="006E15A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b/>
          <w:u w:val="single"/>
          <w:lang w:eastAsia="pl-PL"/>
        </w:rPr>
      </w:pP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b/>
          <w:u w:val="single"/>
          <w:lang w:eastAsia="pl-PL"/>
        </w:rPr>
      </w:pPr>
      <w:r w:rsidRPr="006B73F8">
        <w:rPr>
          <w:rFonts w:ascii="Times New Roman" w:hAnsi="Times New Roman"/>
          <w:b/>
          <w:u w:val="single"/>
          <w:lang w:eastAsia="pl-PL"/>
        </w:rPr>
        <w:t>Umowa o pracę</w:t>
      </w:r>
    </w:p>
    <w:p w:rsidR="006E15A8" w:rsidRPr="006B73F8" w:rsidRDefault="006E15A8" w:rsidP="006E15A8">
      <w:pPr>
        <w:pStyle w:val="Akapitzlist"/>
        <w:numPr>
          <w:ilvl w:val="0"/>
          <w:numId w:val="10"/>
        </w:numPr>
        <w:spacing w:after="0" w:line="240" w:lineRule="auto"/>
        <w:ind w:left="397" w:right="397"/>
        <w:jc w:val="both"/>
        <w:rPr>
          <w:rFonts w:ascii="Times New Roman" w:hAnsi="Times New Roman"/>
          <w:b/>
          <w:lang w:eastAsia="pl-PL"/>
        </w:rPr>
      </w:pPr>
      <w:r w:rsidRPr="006B73F8">
        <w:rPr>
          <w:rFonts w:ascii="Times New Roman" w:hAnsi="Times New Roman"/>
          <w:lang w:eastAsia="pl-PL"/>
        </w:rPr>
        <w:t>kwestionariusz poręczyciela</w:t>
      </w:r>
    </w:p>
    <w:p w:rsidR="006E15A8" w:rsidRPr="006B73F8" w:rsidRDefault="006E15A8" w:rsidP="006E15A8">
      <w:pPr>
        <w:pStyle w:val="Akapitzlist"/>
        <w:numPr>
          <w:ilvl w:val="0"/>
          <w:numId w:val="10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zaświadczenie o zatrudnieniu wypełnione przez zakład pracy (nie starsze niż 30 dni)</w:t>
      </w:r>
    </w:p>
    <w:p w:rsidR="006E15A8" w:rsidRPr="006B73F8" w:rsidRDefault="006E15A8" w:rsidP="006E15A8">
      <w:pPr>
        <w:pStyle w:val="Akapitzlist"/>
        <w:numPr>
          <w:ilvl w:val="0"/>
          <w:numId w:val="10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wyciąg bankowy potwierdzający wpływ wynagrodzenia na rachunek</w:t>
      </w:r>
    </w:p>
    <w:p w:rsidR="006E15A8" w:rsidRPr="006B73F8" w:rsidRDefault="006E15A8" w:rsidP="006E15A8">
      <w:pPr>
        <w:pStyle w:val="Akapitzlist"/>
        <w:numPr>
          <w:ilvl w:val="0"/>
          <w:numId w:val="10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 xml:space="preserve">kopia dokumentu tożsamości poręczyciela/i małżonka </w:t>
      </w:r>
    </w:p>
    <w:p w:rsidR="006E15A8" w:rsidRPr="006B73F8" w:rsidRDefault="006E15A8" w:rsidP="006E15A8">
      <w:pPr>
        <w:tabs>
          <w:tab w:val="left" w:pos="851"/>
        </w:tabs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b/>
          <w:u w:val="single"/>
          <w:lang w:eastAsia="pl-PL"/>
        </w:rPr>
      </w:pPr>
      <w:r w:rsidRPr="006B73F8">
        <w:rPr>
          <w:rFonts w:ascii="Times New Roman" w:hAnsi="Times New Roman"/>
          <w:b/>
          <w:u w:val="single"/>
          <w:lang w:eastAsia="pl-PL"/>
        </w:rPr>
        <w:t>Emeryt</w:t>
      </w:r>
      <w:r>
        <w:rPr>
          <w:rFonts w:ascii="Times New Roman" w:hAnsi="Times New Roman"/>
          <w:b/>
          <w:u w:val="single"/>
          <w:lang w:eastAsia="pl-PL"/>
        </w:rPr>
        <w:t>ura/renta</w:t>
      </w:r>
    </w:p>
    <w:p w:rsidR="006E15A8" w:rsidRPr="006B73F8" w:rsidRDefault="006E15A8" w:rsidP="006E15A8">
      <w:pPr>
        <w:pStyle w:val="Akapitzlist"/>
        <w:numPr>
          <w:ilvl w:val="0"/>
          <w:numId w:val="9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kwestionariusz Poręczyciela</w:t>
      </w:r>
    </w:p>
    <w:p w:rsidR="006E15A8" w:rsidRPr="006B73F8" w:rsidRDefault="006E15A8" w:rsidP="006E15A8">
      <w:pPr>
        <w:pStyle w:val="Akapitzlist"/>
        <w:numPr>
          <w:ilvl w:val="0"/>
          <w:numId w:val="9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kopia decyzji o przyznaniu emerytury/renty</w:t>
      </w:r>
    </w:p>
    <w:p w:rsidR="006E15A8" w:rsidRPr="006B73F8" w:rsidRDefault="006E15A8" w:rsidP="006E15A8">
      <w:pPr>
        <w:pStyle w:val="Akapitzlist"/>
        <w:numPr>
          <w:ilvl w:val="0"/>
          <w:numId w:val="9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wyciąg bankowy potwierdzający wpływ emerytury/renty na rachunek za ostatni miesiąc lub pokwitowanie odbioru w przypadku otrzymywania emerytury w formie gotówkowej</w:t>
      </w:r>
    </w:p>
    <w:p w:rsidR="006E15A8" w:rsidRPr="006B73F8" w:rsidRDefault="006E15A8" w:rsidP="006E15A8">
      <w:pPr>
        <w:pStyle w:val="Akapitzlist"/>
        <w:numPr>
          <w:ilvl w:val="0"/>
          <w:numId w:val="9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kopia dokumentu tożsamości/ i małżonka</w:t>
      </w: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b/>
          <w:u w:val="single"/>
          <w:lang w:eastAsia="pl-PL"/>
        </w:rPr>
      </w:pPr>
      <w:r w:rsidRPr="006B73F8">
        <w:rPr>
          <w:rFonts w:ascii="Times New Roman" w:hAnsi="Times New Roman"/>
          <w:b/>
          <w:u w:val="single"/>
          <w:lang w:eastAsia="pl-PL"/>
        </w:rPr>
        <w:t>Działalność gospodarcza</w:t>
      </w:r>
      <w:r>
        <w:rPr>
          <w:rFonts w:ascii="Times New Roman" w:hAnsi="Times New Roman"/>
          <w:b/>
          <w:u w:val="single"/>
          <w:lang w:eastAsia="pl-PL"/>
        </w:rPr>
        <w:t>, prowadzona co najmniej 2 lata</w:t>
      </w:r>
    </w:p>
    <w:p w:rsidR="006E15A8" w:rsidRPr="006B73F8" w:rsidRDefault="006E15A8" w:rsidP="006E15A8">
      <w:pPr>
        <w:pStyle w:val="Akapitzlist"/>
        <w:numPr>
          <w:ilvl w:val="0"/>
          <w:numId w:val="11"/>
        </w:numPr>
        <w:spacing w:after="0" w:line="240" w:lineRule="auto"/>
        <w:ind w:left="397" w:right="397"/>
        <w:jc w:val="both"/>
        <w:rPr>
          <w:rFonts w:ascii="Times New Roman" w:hAnsi="Times New Roman"/>
          <w:b/>
          <w:lang w:eastAsia="pl-PL"/>
        </w:rPr>
      </w:pPr>
      <w:r w:rsidRPr="006B73F8">
        <w:rPr>
          <w:rFonts w:ascii="Times New Roman" w:hAnsi="Times New Roman"/>
          <w:lang w:eastAsia="pl-PL"/>
        </w:rPr>
        <w:t>kwestionariusz poręczyciela</w:t>
      </w:r>
    </w:p>
    <w:p w:rsidR="006E15A8" w:rsidRPr="006B73F8" w:rsidRDefault="006E15A8" w:rsidP="006E15A8">
      <w:pPr>
        <w:pStyle w:val="Akapitzlist"/>
        <w:numPr>
          <w:ilvl w:val="0"/>
          <w:numId w:val="11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kopie dokumentów rejestrowych prowadzonej działalności</w:t>
      </w:r>
    </w:p>
    <w:p w:rsidR="006E15A8" w:rsidRPr="006B73F8" w:rsidRDefault="006E15A8" w:rsidP="006E15A8">
      <w:pPr>
        <w:pStyle w:val="Akapitzlist"/>
        <w:numPr>
          <w:ilvl w:val="0"/>
          <w:numId w:val="11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deklaracje podatkowe za dwa ostatnie lata wraz z potwierdzeniem ich złożenia do US</w:t>
      </w:r>
    </w:p>
    <w:p w:rsidR="006E15A8" w:rsidRPr="006B73F8" w:rsidRDefault="006E15A8" w:rsidP="006E15A8">
      <w:pPr>
        <w:pStyle w:val="Akapitzlist"/>
        <w:numPr>
          <w:ilvl w:val="0"/>
          <w:numId w:val="11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dokumenty finansowe za bieżący rok (sprawozdania finansowe: bilans, rachunek zysków i strat lub zestawienie książki przychodów i rozchodów )</w:t>
      </w:r>
    </w:p>
    <w:p w:rsidR="006E15A8" w:rsidRPr="006B73F8" w:rsidRDefault="006E15A8" w:rsidP="006E15A8">
      <w:pPr>
        <w:pStyle w:val="Akapitzlist"/>
        <w:numPr>
          <w:ilvl w:val="0"/>
          <w:numId w:val="11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ewidencja środków trwałych wraz z amortyzacją</w:t>
      </w: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b/>
          <w:u w:val="single"/>
          <w:lang w:eastAsia="pl-PL"/>
        </w:rPr>
      </w:pP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b/>
          <w:u w:val="single"/>
          <w:lang w:eastAsia="pl-PL"/>
        </w:rPr>
      </w:pPr>
    </w:p>
    <w:p w:rsidR="006E15A8" w:rsidRPr="006B73F8" w:rsidRDefault="006E15A8" w:rsidP="006E15A8">
      <w:pPr>
        <w:spacing w:after="0" w:line="240" w:lineRule="auto"/>
        <w:ind w:left="397" w:right="397"/>
        <w:rPr>
          <w:rFonts w:ascii="Times New Roman" w:hAnsi="Times New Roman"/>
          <w:b/>
          <w:sz w:val="28"/>
          <w:szCs w:val="28"/>
          <w:u w:val="single"/>
          <w:lang w:eastAsia="pl-PL"/>
        </w:rPr>
      </w:pPr>
      <w:r w:rsidRPr="006B73F8">
        <w:rPr>
          <w:rFonts w:ascii="Times New Roman" w:hAnsi="Times New Roman"/>
          <w:b/>
          <w:sz w:val="28"/>
          <w:szCs w:val="28"/>
          <w:u w:val="single"/>
          <w:lang w:eastAsia="pl-PL"/>
        </w:rPr>
        <w:t>PORĘCZENIE WEKSLOWE OSOBY PRAWNEJ</w:t>
      </w: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 xml:space="preserve">- dokumenty rejestrowe spółki </w:t>
      </w: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- deklaracje podatkowe za dwa ostatnie lata wraz z potwierdzeniem ich złożenia do US oraz sprawozdania finansowe</w:t>
      </w: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 xml:space="preserve">- sprawozdania finansowe za bieżący rok- ostatni ukończony kwartał </w:t>
      </w: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 xml:space="preserve">- zgoda na weryfikację Poręczyciela w bazach - </w:t>
      </w:r>
      <w:proofErr w:type="spellStart"/>
      <w:r w:rsidRPr="006B73F8">
        <w:rPr>
          <w:rFonts w:ascii="Times New Roman" w:hAnsi="Times New Roman"/>
          <w:lang w:eastAsia="pl-PL"/>
        </w:rPr>
        <w:t>InfoMonitor</w:t>
      </w:r>
      <w:proofErr w:type="spellEnd"/>
      <w:r w:rsidRPr="006B73F8">
        <w:rPr>
          <w:rFonts w:ascii="Times New Roman" w:hAnsi="Times New Roman"/>
          <w:lang w:eastAsia="pl-PL"/>
        </w:rPr>
        <w:t xml:space="preserve"> i KRD</w:t>
      </w: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- oświadczenie o terminowości spłaty zobowiązań publiczno-prawnych (ZUS,US)</w:t>
      </w: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 xml:space="preserve">- oświadczenie o posiadanych zobowiązań finansowych (ich wysokość , termin spłaty) wraz z informacją </w:t>
      </w:r>
      <w:r>
        <w:rPr>
          <w:rFonts w:ascii="Times New Roman" w:hAnsi="Times New Roman"/>
          <w:lang w:eastAsia="pl-PL"/>
        </w:rPr>
        <w:t xml:space="preserve">                             </w:t>
      </w:r>
      <w:r w:rsidRPr="006B73F8">
        <w:rPr>
          <w:rFonts w:ascii="Times New Roman" w:hAnsi="Times New Roman"/>
          <w:lang w:eastAsia="pl-PL"/>
        </w:rPr>
        <w:t>o terminowości ich obsługi</w:t>
      </w: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- kopia dokumentów tożsamości osób uprawionych do zeprezentowania spółki</w:t>
      </w: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b/>
          <w:lang w:eastAsia="pl-PL"/>
        </w:rPr>
      </w:pP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b/>
          <w:sz w:val="28"/>
          <w:szCs w:val="28"/>
          <w:u w:val="single"/>
          <w:lang w:eastAsia="pl-PL"/>
        </w:rPr>
      </w:pPr>
      <w:r w:rsidRPr="006B73F8">
        <w:rPr>
          <w:rFonts w:ascii="Times New Roman" w:hAnsi="Times New Roman"/>
          <w:b/>
          <w:sz w:val="28"/>
          <w:szCs w:val="28"/>
          <w:u w:val="single"/>
          <w:lang w:eastAsia="pl-PL"/>
        </w:rPr>
        <w:t>HIPOTEKA NA NIERUCHOMOŚCI</w:t>
      </w:r>
    </w:p>
    <w:p w:rsidR="006E15A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b/>
          <w:lang w:eastAsia="pl-PL"/>
        </w:rPr>
        <w:t>Uwaga!</w:t>
      </w:r>
      <w:r w:rsidRPr="006B73F8">
        <w:rPr>
          <w:rFonts w:ascii="Times New Roman" w:hAnsi="Times New Roman"/>
          <w:lang w:eastAsia="pl-PL"/>
        </w:rPr>
        <w:t xml:space="preserve"> Fundusz przyjmuje na zabezpieczenie nieruchomości </w:t>
      </w:r>
      <w:r>
        <w:rPr>
          <w:rFonts w:ascii="Times New Roman" w:hAnsi="Times New Roman"/>
          <w:lang w:eastAsia="pl-PL"/>
        </w:rPr>
        <w:t xml:space="preserve">użytkowe. W drodze wyjątku, gdy </w:t>
      </w:r>
      <w:r w:rsidRPr="006B73F8">
        <w:rPr>
          <w:rFonts w:ascii="Times New Roman" w:hAnsi="Times New Roman"/>
          <w:lang w:eastAsia="pl-PL"/>
        </w:rPr>
        <w:t>Wnioskodawca posiada dwa lokale mieszkalne, a nieruchom</w:t>
      </w:r>
      <w:r>
        <w:rPr>
          <w:rFonts w:ascii="Times New Roman" w:hAnsi="Times New Roman"/>
          <w:lang w:eastAsia="pl-PL"/>
        </w:rPr>
        <w:t xml:space="preserve">ość na zabezpieczenie nie jest </w:t>
      </w:r>
      <w:r w:rsidRPr="006B73F8">
        <w:rPr>
          <w:rFonts w:ascii="Times New Roman" w:hAnsi="Times New Roman"/>
          <w:lang w:eastAsia="pl-PL"/>
        </w:rPr>
        <w:t>przez niego zamieszkiwana Fundusz może ustanowić hipotekę na lokalu mieszkalnym.</w:t>
      </w: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ab/>
        <w:t>Weryfikacja wartości nieruchomości odbywa się na podst</w:t>
      </w:r>
      <w:r>
        <w:rPr>
          <w:rFonts w:ascii="Times New Roman" w:hAnsi="Times New Roman"/>
          <w:lang w:eastAsia="pl-PL"/>
        </w:rPr>
        <w:t xml:space="preserve">awie operatu szacunkowego lub </w:t>
      </w:r>
      <w:r w:rsidRPr="006B73F8">
        <w:rPr>
          <w:rFonts w:ascii="Times New Roman" w:hAnsi="Times New Roman"/>
          <w:lang w:eastAsia="pl-PL"/>
        </w:rPr>
        <w:t xml:space="preserve">ustalonej ceny zakupu. W drodze wyjątku gdy wartość nieruchomości na zabezpieczenie jest </w:t>
      </w:r>
      <w:r w:rsidRPr="006B73F8">
        <w:rPr>
          <w:rFonts w:ascii="Times New Roman" w:hAnsi="Times New Roman"/>
          <w:lang w:eastAsia="pl-PL"/>
        </w:rPr>
        <w:tab/>
        <w:t xml:space="preserve">możliwa do ustalenia metodą porównawczą poza wszelką wątpliwość, Fundusz może </w:t>
      </w:r>
      <w:r w:rsidRPr="006B73F8">
        <w:rPr>
          <w:rFonts w:ascii="Times New Roman" w:hAnsi="Times New Roman"/>
          <w:lang w:eastAsia="pl-PL"/>
        </w:rPr>
        <w:tab/>
        <w:t xml:space="preserve">odstąpić od weryfikacji operatu szacunkowego. </w:t>
      </w: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lastRenderedPageBreak/>
        <w:tab/>
        <w:t xml:space="preserve">Ustanowienie hipoteki na nieruchomości odbywa się wyłącznie </w:t>
      </w:r>
      <w:r>
        <w:rPr>
          <w:rFonts w:ascii="Times New Roman" w:hAnsi="Times New Roman"/>
          <w:lang w:eastAsia="pl-PL"/>
        </w:rPr>
        <w:t xml:space="preserve">w formie aktu notarialnego, </w:t>
      </w:r>
      <w:r>
        <w:rPr>
          <w:rFonts w:ascii="Times New Roman" w:hAnsi="Times New Roman"/>
          <w:lang w:eastAsia="pl-PL"/>
        </w:rPr>
        <w:t xml:space="preserve">                            </w:t>
      </w:r>
      <w:r w:rsidRPr="006B73F8">
        <w:rPr>
          <w:rFonts w:ascii="Times New Roman" w:hAnsi="Times New Roman"/>
          <w:lang w:eastAsia="pl-PL"/>
        </w:rPr>
        <w:t xml:space="preserve">za pośrednictwem </w:t>
      </w:r>
      <w:r w:rsidRPr="006B73F8">
        <w:rPr>
          <w:rFonts w:ascii="Times New Roman" w:hAnsi="Times New Roman"/>
          <w:b/>
          <w:lang w:eastAsia="pl-PL"/>
        </w:rPr>
        <w:t>notariusza</w:t>
      </w:r>
      <w:r w:rsidRPr="006B73F8">
        <w:rPr>
          <w:rFonts w:ascii="Times New Roman" w:hAnsi="Times New Roman"/>
          <w:lang w:eastAsia="pl-PL"/>
        </w:rPr>
        <w:t xml:space="preserve">, który składa wniosek do Wydziału Ksiąg Wieczystych w imieniu Pożyczkobiorcy. </w:t>
      </w: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ab/>
        <w:t>Środki z pożyczki mogą być uruchomione po ustanowieniu zabezpieczenia</w:t>
      </w:r>
      <w:r>
        <w:rPr>
          <w:rFonts w:ascii="Times New Roman" w:hAnsi="Times New Roman"/>
          <w:lang w:eastAsia="pl-PL"/>
        </w:rPr>
        <w:t xml:space="preserve">, tj. złożenia </w:t>
      </w:r>
      <w:r>
        <w:rPr>
          <w:rFonts w:ascii="Times New Roman" w:hAnsi="Times New Roman"/>
          <w:lang w:eastAsia="pl-PL"/>
        </w:rPr>
        <w:tab/>
        <w:t xml:space="preserve">wniosku o wpis </w:t>
      </w:r>
      <w:r w:rsidRPr="006B73F8">
        <w:rPr>
          <w:rFonts w:ascii="Times New Roman" w:hAnsi="Times New Roman"/>
          <w:lang w:eastAsia="pl-PL"/>
        </w:rPr>
        <w:t xml:space="preserve">hipoteki do Księgi Wieczystej. W wyjątkowych przypadkach, gdy </w:t>
      </w:r>
      <w:r w:rsidRPr="006B73F8">
        <w:rPr>
          <w:rFonts w:ascii="Times New Roman" w:hAnsi="Times New Roman"/>
          <w:lang w:eastAsia="pl-PL"/>
        </w:rPr>
        <w:tab/>
        <w:t xml:space="preserve">sprzedającym nieruchomość jest jednostka samorządu  terytorialnego, środki z pożyczki </w:t>
      </w:r>
      <w:r w:rsidRPr="006B73F8">
        <w:rPr>
          <w:rFonts w:ascii="Times New Roman" w:hAnsi="Times New Roman"/>
          <w:lang w:eastAsia="pl-PL"/>
        </w:rPr>
        <w:tab/>
        <w:t xml:space="preserve">mogą być uruchomione przed złożeniem wniosku o wpis hipoteki. </w:t>
      </w: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b/>
          <w:u w:val="single"/>
          <w:lang w:eastAsia="pl-PL"/>
        </w:rPr>
      </w:pPr>
      <w:r w:rsidRPr="006B73F8">
        <w:rPr>
          <w:rFonts w:ascii="Times New Roman" w:hAnsi="Times New Roman"/>
          <w:b/>
          <w:u w:val="single"/>
          <w:lang w:eastAsia="pl-PL"/>
        </w:rPr>
        <w:t>Wymagane dokumenty:</w:t>
      </w:r>
    </w:p>
    <w:p w:rsidR="006E15A8" w:rsidRPr="006B73F8" w:rsidRDefault="006E15A8" w:rsidP="006E15A8">
      <w:pPr>
        <w:pStyle w:val="Akapitzlist"/>
        <w:numPr>
          <w:ilvl w:val="0"/>
          <w:numId w:val="8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 xml:space="preserve">odpis z Księgi Wieczystej nieruchomości </w:t>
      </w:r>
    </w:p>
    <w:p w:rsidR="006E15A8" w:rsidRPr="006B73F8" w:rsidRDefault="006E15A8" w:rsidP="006E15A8">
      <w:pPr>
        <w:pStyle w:val="Akapitzlist"/>
        <w:numPr>
          <w:ilvl w:val="0"/>
          <w:numId w:val="8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proofErr w:type="spellStart"/>
      <w:r w:rsidRPr="006B73F8">
        <w:rPr>
          <w:rFonts w:ascii="Times New Roman" w:hAnsi="Times New Roman"/>
          <w:lang w:eastAsia="pl-PL"/>
        </w:rPr>
        <w:t>wyrys</w:t>
      </w:r>
      <w:proofErr w:type="spellEnd"/>
      <w:r w:rsidRPr="006B73F8">
        <w:rPr>
          <w:rFonts w:ascii="Times New Roman" w:hAnsi="Times New Roman"/>
          <w:lang w:eastAsia="pl-PL"/>
        </w:rPr>
        <w:t xml:space="preserve"> mapy oraz wypis z  ewidencji gruntów i budynków w przypadku nieruchomości gruntowych </w:t>
      </w:r>
      <w:r>
        <w:rPr>
          <w:rFonts w:ascii="Times New Roman" w:hAnsi="Times New Roman"/>
          <w:lang w:eastAsia="pl-PL"/>
        </w:rPr>
        <w:t xml:space="preserve">                            </w:t>
      </w:r>
      <w:r w:rsidRPr="006B73F8">
        <w:rPr>
          <w:rFonts w:ascii="Times New Roman" w:hAnsi="Times New Roman"/>
          <w:lang w:eastAsia="pl-PL"/>
        </w:rPr>
        <w:t xml:space="preserve">i budynków wolnostojących </w:t>
      </w:r>
    </w:p>
    <w:p w:rsidR="006E15A8" w:rsidRPr="006B73F8" w:rsidRDefault="006E15A8" w:rsidP="006E15A8">
      <w:pPr>
        <w:pStyle w:val="Akapitzlist"/>
        <w:numPr>
          <w:ilvl w:val="0"/>
          <w:numId w:val="8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operat szacunkowy (konieczny gdy wartości nieruchomości nie można ustalić metodą porównawczą ponad wszelką wątpliwość)</w:t>
      </w:r>
    </w:p>
    <w:p w:rsidR="006E15A8" w:rsidRPr="006B73F8" w:rsidRDefault="006E15A8" w:rsidP="006E15A8">
      <w:pPr>
        <w:pStyle w:val="Akapitzlist"/>
        <w:numPr>
          <w:ilvl w:val="0"/>
          <w:numId w:val="8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przedwstępna umowa sprzedaży lub oświadczenie zbywcy ze wskazaniem ustalonej ceny sprzedaży oraz  terminu i sposobu zapłaty w przypadku gdy zabezpieczeniem ma być kupowana nieruchomość</w:t>
      </w:r>
    </w:p>
    <w:p w:rsidR="006E15A8" w:rsidRPr="006B73F8" w:rsidRDefault="006E15A8" w:rsidP="006E15A8">
      <w:pPr>
        <w:pStyle w:val="Akapitzlist"/>
        <w:numPr>
          <w:ilvl w:val="0"/>
          <w:numId w:val="8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umowa  nabycia nieruchomości (akt notarialny, darowizna) w przypadku ustanowienia hipoteki na posiadanej nieruchomości</w:t>
      </w:r>
    </w:p>
    <w:p w:rsidR="006E15A8" w:rsidRPr="006B73F8" w:rsidRDefault="006E15A8" w:rsidP="006E15A8">
      <w:pPr>
        <w:pStyle w:val="Akapitzlist"/>
        <w:numPr>
          <w:ilvl w:val="0"/>
          <w:numId w:val="8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oświadczenie właściciela nieruchomości zawierające zgodę na ustanowienie hipoteki , w przypadku, gdy jest nią inna osoba, niż Wnioskodawca</w:t>
      </w: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b/>
          <w:sz w:val="28"/>
          <w:szCs w:val="28"/>
          <w:u w:val="single"/>
          <w:lang w:eastAsia="pl-PL"/>
        </w:rPr>
      </w:pPr>
      <w:r w:rsidRPr="006B73F8">
        <w:rPr>
          <w:rFonts w:ascii="Times New Roman" w:hAnsi="Times New Roman"/>
          <w:b/>
          <w:sz w:val="28"/>
          <w:szCs w:val="28"/>
          <w:u w:val="single"/>
          <w:lang w:eastAsia="pl-PL"/>
        </w:rPr>
        <w:t xml:space="preserve">PRZEWŁASZCZENIE ŚRODKÓW TRWAŁYCH </w:t>
      </w: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b/>
          <w:lang w:eastAsia="pl-PL"/>
        </w:rPr>
        <w:t>Uwaga!</w:t>
      </w:r>
      <w:r w:rsidRPr="006B73F8">
        <w:rPr>
          <w:rFonts w:ascii="Times New Roman" w:hAnsi="Times New Roman"/>
          <w:lang w:eastAsia="pl-PL"/>
        </w:rPr>
        <w:t xml:space="preserve"> Weryfikując i akceptując zabezpieczenie w postaci przewłaszczenia środków trwałych </w:t>
      </w:r>
      <w:r w:rsidRPr="006B73F8">
        <w:rPr>
          <w:rFonts w:ascii="Times New Roman" w:hAnsi="Times New Roman"/>
          <w:lang w:eastAsia="pl-PL"/>
        </w:rPr>
        <w:tab/>
        <w:t xml:space="preserve">Fundusz bierze pod uwagę w szczególności ich obecną wartość, potencjalną utratę wartości </w:t>
      </w:r>
      <w:r w:rsidRPr="006B73F8">
        <w:rPr>
          <w:rFonts w:ascii="Times New Roman" w:hAnsi="Times New Roman"/>
          <w:lang w:eastAsia="pl-PL"/>
        </w:rPr>
        <w:tab/>
        <w:t xml:space="preserve">w czasie oraz płynność (możliwość odsprzedaży). Z zasady nie są akceptowane drobne środki </w:t>
      </w:r>
      <w:r w:rsidRPr="006B73F8">
        <w:rPr>
          <w:rFonts w:ascii="Times New Roman" w:hAnsi="Times New Roman"/>
          <w:lang w:eastAsia="pl-PL"/>
        </w:rPr>
        <w:tab/>
        <w:t xml:space="preserve">trwałe w postaci wyposażenia, np.; meble, sprzęt komputerowy czy też wysoce </w:t>
      </w:r>
      <w:r w:rsidRPr="006B73F8">
        <w:rPr>
          <w:rFonts w:ascii="Times New Roman" w:hAnsi="Times New Roman"/>
          <w:lang w:eastAsia="pl-PL"/>
        </w:rPr>
        <w:tab/>
        <w:t xml:space="preserve">specjalistyczne </w:t>
      </w:r>
      <w:r w:rsidRPr="006B73F8">
        <w:rPr>
          <w:rFonts w:ascii="Times New Roman" w:hAnsi="Times New Roman"/>
          <w:lang w:eastAsia="pl-PL"/>
        </w:rPr>
        <w:tab/>
        <w:t xml:space="preserve">środki </w:t>
      </w:r>
      <w:r w:rsidRPr="006B73F8">
        <w:rPr>
          <w:rFonts w:ascii="Times New Roman" w:hAnsi="Times New Roman"/>
          <w:lang w:eastAsia="pl-PL"/>
        </w:rPr>
        <w:tab/>
        <w:t xml:space="preserve">trwałe, dla których nie istnieje </w:t>
      </w:r>
      <w:r>
        <w:rPr>
          <w:rFonts w:ascii="Times New Roman" w:hAnsi="Times New Roman"/>
          <w:lang w:eastAsia="pl-PL"/>
        </w:rPr>
        <w:t xml:space="preserve">rynek wtórny, co ograniczałoby </w:t>
      </w:r>
      <w:r w:rsidRPr="006B73F8">
        <w:rPr>
          <w:rFonts w:ascii="Times New Roman" w:hAnsi="Times New Roman"/>
          <w:lang w:eastAsia="pl-PL"/>
        </w:rPr>
        <w:t>możliwość ich odsprzedaży.</w:t>
      </w: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ab/>
        <w:t xml:space="preserve">Weryfikacja wartości zabezpieczenia odbywa się na podstawie wyceny rzeczoznawcy, </w:t>
      </w:r>
      <w:r w:rsidRPr="006B73F8">
        <w:rPr>
          <w:rFonts w:ascii="Times New Roman" w:hAnsi="Times New Roman"/>
          <w:lang w:eastAsia="pl-PL"/>
        </w:rPr>
        <w:tab/>
        <w:t>ustalonej</w:t>
      </w:r>
      <w:r>
        <w:rPr>
          <w:rFonts w:ascii="Times New Roman" w:hAnsi="Times New Roman"/>
          <w:lang w:eastAsia="pl-PL"/>
        </w:rPr>
        <w:t xml:space="preserve"> </w:t>
      </w:r>
      <w:r w:rsidRPr="006B73F8">
        <w:rPr>
          <w:rFonts w:ascii="Times New Roman" w:hAnsi="Times New Roman"/>
          <w:lang w:eastAsia="pl-PL"/>
        </w:rPr>
        <w:t>ceny</w:t>
      </w:r>
      <w:r>
        <w:rPr>
          <w:rFonts w:ascii="Times New Roman" w:hAnsi="Times New Roman"/>
          <w:lang w:eastAsia="pl-PL"/>
        </w:rPr>
        <w:t xml:space="preserve"> </w:t>
      </w:r>
      <w:r w:rsidRPr="006B73F8">
        <w:rPr>
          <w:rFonts w:ascii="Times New Roman" w:hAnsi="Times New Roman"/>
          <w:lang w:eastAsia="pl-PL"/>
        </w:rPr>
        <w:t xml:space="preserve"> zakupu, polisy ubezpieczenia lub metodą porównawczą, w przypadku </w:t>
      </w:r>
      <w:r w:rsidRPr="006B73F8">
        <w:rPr>
          <w:rFonts w:ascii="Times New Roman" w:hAnsi="Times New Roman"/>
          <w:lang w:eastAsia="pl-PL"/>
        </w:rPr>
        <w:tab/>
        <w:t xml:space="preserve">możliwości ustalenia wartości ponad wszelką wątpliwość. </w:t>
      </w: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b/>
          <w:u w:val="single"/>
          <w:lang w:eastAsia="pl-PL"/>
        </w:rPr>
      </w:pPr>
      <w:r>
        <w:rPr>
          <w:rFonts w:ascii="Times New Roman" w:hAnsi="Times New Roman"/>
          <w:b/>
          <w:u w:val="single"/>
          <w:lang w:eastAsia="pl-PL"/>
        </w:rPr>
        <w:t>Wymagane d</w:t>
      </w:r>
      <w:r w:rsidRPr="006B73F8">
        <w:rPr>
          <w:rFonts w:ascii="Times New Roman" w:hAnsi="Times New Roman"/>
          <w:b/>
          <w:u w:val="single"/>
          <w:lang w:eastAsia="pl-PL"/>
        </w:rPr>
        <w:t>okument</w:t>
      </w:r>
      <w:r>
        <w:rPr>
          <w:rFonts w:ascii="Times New Roman" w:hAnsi="Times New Roman"/>
          <w:b/>
          <w:u w:val="single"/>
          <w:lang w:eastAsia="pl-PL"/>
        </w:rPr>
        <w:t>y</w:t>
      </w:r>
      <w:r w:rsidRPr="006B73F8">
        <w:rPr>
          <w:rFonts w:ascii="Times New Roman" w:hAnsi="Times New Roman"/>
          <w:b/>
          <w:u w:val="single"/>
          <w:lang w:eastAsia="pl-PL"/>
        </w:rPr>
        <w:t xml:space="preserve">: </w:t>
      </w:r>
    </w:p>
    <w:p w:rsidR="006E15A8" w:rsidRPr="006B73F8" w:rsidRDefault="006E15A8" w:rsidP="006E15A8">
      <w:pPr>
        <w:pStyle w:val="Akapitzlist"/>
        <w:numPr>
          <w:ilvl w:val="0"/>
          <w:numId w:val="12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oferta kupna/sprzedaży środków trwałych (faktura pro forma/ oferta handlowa)</w:t>
      </w:r>
      <w:r>
        <w:rPr>
          <w:rFonts w:ascii="Times New Roman" w:hAnsi="Times New Roman"/>
          <w:lang w:eastAsia="pl-PL"/>
        </w:rPr>
        <w:t>,</w:t>
      </w:r>
      <w:r w:rsidRPr="006B73F8">
        <w:rPr>
          <w:rFonts w:ascii="Times New Roman" w:hAnsi="Times New Roman"/>
          <w:lang w:eastAsia="pl-PL"/>
        </w:rPr>
        <w:t xml:space="preserve"> w przypadku przewłaszczenia kupowanych środków trwałych</w:t>
      </w:r>
    </w:p>
    <w:p w:rsidR="006E15A8" w:rsidRPr="006B73F8" w:rsidRDefault="006E15A8" w:rsidP="006E15A8">
      <w:pPr>
        <w:pStyle w:val="Akapitzlist"/>
        <w:numPr>
          <w:ilvl w:val="0"/>
          <w:numId w:val="12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dokumenty potwierdzające nabycie środków trwałych (faktury/rachunki)</w:t>
      </w:r>
      <w:r>
        <w:rPr>
          <w:rFonts w:ascii="Times New Roman" w:hAnsi="Times New Roman"/>
          <w:lang w:eastAsia="pl-PL"/>
        </w:rPr>
        <w:t>,</w:t>
      </w:r>
      <w:r w:rsidRPr="006B73F8">
        <w:rPr>
          <w:rFonts w:ascii="Times New Roman" w:hAnsi="Times New Roman"/>
          <w:lang w:eastAsia="pl-PL"/>
        </w:rPr>
        <w:t xml:space="preserve"> w przypadku przewłaszczenia  już posiadanych środków trwałych</w:t>
      </w:r>
    </w:p>
    <w:p w:rsidR="006E15A8" w:rsidRDefault="006E15A8" w:rsidP="006E15A8">
      <w:pPr>
        <w:pStyle w:val="Akapitzlist"/>
        <w:numPr>
          <w:ilvl w:val="0"/>
          <w:numId w:val="12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kopia dowodu rejestracyjnego w przypadku przewłaszczenia pojazdu podlegającego rejestracji w Wydziale Komunikacji</w:t>
      </w:r>
    </w:p>
    <w:p w:rsidR="006E15A8" w:rsidRPr="006B73F8" w:rsidRDefault="006E15A8" w:rsidP="006E15A8">
      <w:pPr>
        <w:pStyle w:val="Akapitzlist"/>
        <w:numPr>
          <w:ilvl w:val="0"/>
          <w:numId w:val="12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przed uruchomieniem środków z pożyczki ubezpieczenie przewłaszczanych środków trwałych wraz z cesją praw z polisy na pożyczkodawcę; odnawianie polisy w całym okresie spłaty pożyczki; w przypadku przewłaszczenia pojazdów wymagana polisa auto casco </w:t>
      </w: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b/>
          <w:lang w:eastAsia="pl-PL"/>
        </w:rPr>
      </w:pPr>
      <w:r w:rsidRPr="006B73F8">
        <w:rPr>
          <w:rFonts w:ascii="Times New Roman" w:hAnsi="Times New Roman"/>
          <w:b/>
          <w:lang w:eastAsia="pl-PL"/>
        </w:rPr>
        <w:t xml:space="preserve">FUNDUSZ ZASTRZEGA PRAWO DO WERYFIKACJI DODATKOWYCH DOKUMENTÓW ZWIĄZANYCH Z WYBRANĄ FORMĄ ZABEZPIECZENIA W CELU OKREŚLENIE JEGO WARTOŚCI. </w:t>
      </w:r>
    </w:p>
    <w:p w:rsidR="006E15A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b/>
          <w:lang w:eastAsia="pl-PL"/>
        </w:rPr>
      </w:pP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b/>
          <w:lang w:eastAsia="pl-PL"/>
        </w:rPr>
      </w:pPr>
      <w:bookmarkStart w:id="0" w:name="_GoBack"/>
      <w:bookmarkEnd w:id="0"/>
      <w:r w:rsidRPr="006B73F8">
        <w:rPr>
          <w:rFonts w:ascii="Times New Roman" w:hAnsi="Times New Roman"/>
          <w:b/>
          <w:lang w:eastAsia="pl-PL"/>
        </w:rPr>
        <w:t>PROPOZYCJE ZABEZPIECZENIA NIE WYMIENIONE POWYŻEJ SĄ USTALANE INDYWIDUALNIE</w:t>
      </w:r>
    </w:p>
    <w:p w:rsidR="006E15A8" w:rsidRPr="006B73F8" w:rsidRDefault="006E15A8" w:rsidP="006E15A8">
      <w:pPr>
        <w:tabs>
          <w:tab w:val="left" w:pos="6945"/>
        </w:tabs>
        <w:spacing w:after="0" w:line="240" w:lineRule="auto"/>
        <w:ind w:left="397" w:right="397"/>
        <w:rPr>
          <w:rFonts w:ascii="Times New Roman" w:hAnsi="Times New Roman"/>
        </w:rPr>
      </w:pPr>
      <w:r w:rsidRPr="006B73F8">
        <w:rPr>
          <w:rFonts w:ascii="Times New Roman" w:hAnsi="Times New Roman"/>
        </w:rPr>
        <w:tab/>
      </w:r>
    </w:p>
    <w:p w:rsidR="004B6B3A" w:rsidRDefault="004B6B3A" w:rsidP="006E15A8">
      <w:pPr>
        <w:spacing w:after="0"/>
        <w:ind w:left="397" w:right="397" w:hanging="1572"/>
        <w:rPr>
          <w:b/>
          <w:sz w:val="24"/>
          <w:szCs w:val="24"/>
        </w:rPr>
      </w:pPr>
    </w:p>
    <w:sectPr w:rsidR="004B6B3A" w:rsidSect="00133796">
      <w:headerReference w:type="default" r:id="rId8"/>
      <w:footerReference w:type="default" r:id="rId9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EDC" w:rsidRDefault="00060EDC" w:rsidP="00227FFE">
      <w:pPr>
        <w:spacing w:after="0" w:line="240" w:lineRule="auto"/>
      </w:pPr>
      <w:r>
        <w:separator/>
      </w:r>
    </w:p>
  </w:endnote>
  <w:endnote w:type="continuationSeparator" w:id="0">
    <w:p w:rsidR="00060EDC" w:rsidRDefault="00060EDC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060EDC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C017F1">
    <w:pPr>
      <w:pStyle w:val="Stopka"/>
    </w:pPr>
    <w:r>
      <w:rPr>
        <w:noProof/>
        <w:lang w:eastAsia="pl-PL"/>
      </w:rPr>
      <w:drawing>
        <wp:inline distT="0" distB="0" distL="0" distR="0">
          <wp:extent cx="6686550" cy="559834"/>
          <wp:effectExtent l="19050" t="0" r="0" b="0"/>
          <wp:docPr id="1" name="Obraz 0" descr="pasek_loga_wspar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a_wsparc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9697" cy="5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EDC" w:rsidRDefault="00060EDC" w:rsidP="00227FFE">
      <w:pPr>
        <w:spacing w:after="0" w:line="240" w:lineRule="auto"/>
      </w:pPr>
      <w:r>
        <w:separator/>
      </w:r>
    </w:p>
  </w:footnote>
  <w:footnote w:type="continuationSeparator" w:id="0">
    <w:p w:rsidR="00060EDC" w:rsidRDefault="00060EDC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060EDC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060EDC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424"/>
    <w:multiLevelType w:val="hybridMultilevel"/>
    <w:tmpl w:val="FC862432"/>
    <w:lvl w:ilvl="0" w:tplc="3CA4E1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2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67884"/>
    <w:multiLevelType w:val="hybridMultilevel"/>
    <w:tmpl w:val="75BAE4D0"/>
    <w:lvl w:ilvl="0" w:tplc="3CA4E1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147A0"/>
    <w:multiLevelType w:val="hybridMultilevel"/>
    <w:tmpl w:val="16D670CA"/>
    <w:lvl w:ilvl="0" w:tplc="3CA4E1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D040F"/>
    <w:multiLevelType w:val="hybridMultilevel"/>
    <w:tmpl w:val="DB4CAD5E"/>
    <w:lvl w:ilvl="0" w:tplc="3CA4E1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30D93"/>
    <w:multiLevelType w:val="hybridMultilevel"/>
    <w:tmpl w:val="E2B26430"/>
    <w:lvl w:ilvl="0" w:tplc="3CA4E1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0EDC"/>
    <w:rsid w:val="0006255B"/>
    <w:rsid w:val="000D327A"/>
    <w:rsid w:val="000E2963"/>
    <w:rsid w:val="00133796"/>
    <w:rsid w:val="001F00C2"/>
    <w:rsid w:val="00227FFE"/>
    <w:rsid w:val="002561E9"/>
    <w:rsid w:val="002D5FBD"/>
    <w:rsid w:val="00325806"/>
    <w:rsid w:val="003E0ED9"/>
    <w:rsid w:val="0049543F"/>
    <w:rsid w:val="004B6B3A"/>
    <w:rsid w:val="004F7C05"/>
    <w:rsid w:val="005D29D1"/>
    <w:rsid w:val="00655CA6"/>
    <w:rsid w:val="006848AB"/>
    <w:rsid w:val="00692B67"/>
    <w:rsid w:val="00696688"/>
    <w:rsid w:val="006C036A"/>
    <w:rsid w:val="006E15A8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930C73"/>
    <w:rsid w:val="00962B28"/>
    <w:rsid w:val="00A255E5"/>
    <w:rsid w:val="00B36BB6"/>
    <w:rsid w:val="00B615F2"/>
    <w:rsid w:val="00BB2391"/>
    <w:rsid w:val="00BF7E41"/>
    <w:rsid w:val="00C017F1"/>
    <w:rsid w:val="00C10AEE"/>
    <w:rsid w:val="00C91058"/>
    <w:rsid w:val="00CF59FE"/>
    <w:rsid w:val="00D11C8B"/>
    <w:rsid w:val="00D15D95"/>
    <w:rsid w:val="00D26093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792E35E6-E829-4570-B7B9-20FC2E8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87800-C954-45E1-9362-FA0CC40A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15</cp:revision>
  <cp:lastPrinted>2015-05-04T09:11:00Z</cp:lastPrinted>
  <dcterms:created xsi:type="dcterms:W3CDTF">2016-11-08T07:38:00Z</dcterms:created>
  <dcterms:modified xsi:type="dcterms:W3CDTF">2018-03-14T14:21:00Z</dcterms:modified>
</cp:coreProperties>
</file>